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ptos" w:cs="Aptos" w:eastAsia="Aptos" w:hAnsi="Apto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-182878</wp:posOffset>
            </wp:positionH>
            <wp:positionV relativeFrom="paragraph">
              <wp:posOffset>245</wp:posOffset>
            </wp:positionV>
            <wp:extent cx="6158230" cy="1638935"/>
            <wp:effectExtent b="0" l="0" r="0" t="0"/>
            <wp:wrapSquare wrapText="bothSides" distB="0" distT="0" distL="114300" distR="114300"/>
            <wp:docPr descr="Blue text on a black background&#10;&#10;AI-generated content may be incorrect." id="1890072603" name="image1.png"/>
            <a:graphic>
              <a:graphicData uri="http://schemas.openxmlformats.org/drawingml/2006/picture">
                <pic:pic>
                  <pic:nvPicPr>
                    <pic:cNvPr descr="Blue text on a black background&#10;&#10;AI-generated content may be incorrect." id="0" name="image1.png"/>
                    <pic:cNvPicPr preferRelativeResize="0"/>
                  </pic:nvPicPr>
                  <pic:blipFill>
                    <a:blip r:embed="rId7"/>
                    <a:srcRect b="0" l="0" r="0" t="0"/>
                    <a:stretch>
                      <a:fillRect/>
                    </a:stretch>
                  </pic:blipFill>
                  <pic:spPr>
                    <a:xfrm>
                      <a:off x="0" y="0"/>
                      <a:ext cx="6158230" cy="1638935"/>
                    </a:xfrm>
                    <a:prstGeom prst="rect"/>
                    <a:ln/>
                  </pic:spPr>
                </pic:pic>
              </a:graphicData>
            </a:graphic>
          </wp:anchor>
        </w:drawing>
      </w:r>
    </w:p>
    <w:p w:rsidR="00000000" w:rsidDel="00000000" w:rsidP="00000000" w:rsidRDefault="00000000" w:rsidRPr="00000000" w14:paraId="00000002">
      <w:pPr>
        <w:rPr>
          <w:rFonts w:ascii="Aptos" w:cs="Aptos" w:eastAsia="Aptos" w:hAnsi="Aptos"/>
        </w:rPr>
      </w:pPr>
      <w:r w:rsidDel="00000000" w:rsidR="00000000" w:rsidRPr="00000000">
        <w:rPr>
          <w:rtl w:val="0"/>
        </w:rPr>
      </w:r>
    </w:p>
    <w:p w:rsidR="00000000" w:rsidDel="00000000" w:rsidP="00000000" w:rsidRDefault="00000000" w:rsidRPr="00000000" w14:paraId="00000003">
      <w:pPr>
        <w:rPr>
          <w:rFonts w:ascii="Aptos" w:cs="Aptos" w:eastAsia="Aptos" w:hAnsi="Aptos"/>
        </w:rPr>
      </w:pPr>
      <w:r w:rsidDel="00000000" w:rsidR="00000000" w:rsidRPr="00000000">
        <w:rPr>
          <w:rtl w:val="0"/>
        </w:rPr>
      </w:r>
    </w:p>
    <w:p w:rsidR="00000000" w:rsidDel="00000000" w:rsidP="00000000" w:rsidRDefault="00000000" w:rsidRPr="00000000" w14:paraId="00000004">
      <w:pPr>
        <w:rPr>
          <w:rFonts w:ascii="Aptos" w:cs="Aptos" w:eastAsia="Aptos" w:hAnsi="Aptos"/>
        </w:rPr>
      </w:pPr>
      <w:r w:rsidDel="00000000" w:rsidR="00000000" w:rsidRPr="00000000">
        <w:rPr>
          <w:rtl w:val="0"/>
        </w:rPr>
      </w:r>
    </w:p>
    <w:p w:rsidR="00000000" w:rsidDel="00000000" w:rsidP="00000000" w:rsidRDefault="00000000" w:rsidRPr="00000000" w14:paraId="00000005">
      <w:pPr>
        <w:rPr>
          <w:rFonts w:ascii="Aptos" w:cs="Aptos" w:eastAsia="Aptos" w:hAnsi="Apto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-766760</wp:posOffset>
                </wp:positionH>
                <wp:positionV relativeFrom="paragraph">
                  <wp:posOffset>59829</wp:posOffset>
                </wp:positionV>
                <wp:extent cx="7486650" cy="2933700"/>
                <wp:effectExtent b="0" l="0" r="0" t="0"/>
                <wp:wrapNone/>
                <wp:docPr id="1890072602" name=""/>
                <a:graphic>
                  <a:graphicData uri="http://schemas.microsoft.com/office/word/2010/wordprocessingShape">
                    <wps:wsp>
                      <wps:cNvSpPr/>
                      <wps:cNvPr id="3" name="Shape 3"/>
                      <wps:spPr>
                        <a:xfrm>
                          <a:off x="1612200" y="2322675"/>
                          <a:ext cx="7467600" cy="291465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ptos" w:cs="Aptos" w:eastAsia="Aptos" w:hAnsi="Aptos"/>
                                <w:b w:val="1"/>
                                <w:i w:val="0"/>
                                <w:smallCaps w:val="0"/>
                                <w:strike w:val="0"/>
                                <w:color w:val="1b1464"/>
                                <w:sz w:val="72"/>
                                <w:vertAlign w:val="baseline"/>
                              </w:rPr>
                              <w:t xml:space="preserve">GEORGIA</w:t>
                            </w:r>
                            <w:r w:rsidDel="00000000" w:rsidR="00000000" w:rsidRPr="00000000">
                              <w:rPr>
                                <w:rFonts w:ascii="Aptos" w:cs="Aptos" w:eastAsia="Aptos" w:hAnsi="Aptos"/>
                                <w:b w:val="1"/>
                                <w:i w:val="0"/>
                                <w:smallCaps w:val="0"/>
                                <w:strike w:val="0"/>
                                <w:color w:val="1b1464"/>
                                <w:sz w:val="72"/>
                                <w:vertAlign w:val="baseline"/>
                              </w:rPr>
                              <w:t xml:space="preserve"> PREHOSPITAL BLOOD PRODUCT TRANSFUSION ADVOCACY PACKET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-766760</wp:posOffset>
                </wp:positionH>
                <wp:positionV relativeFrom="paragraph">
                  <wp:posOffset>59829</wp:posOffset>
                </wp:positionV>
                <wp:extent cx="7486650" cy="2933700"/>
                <wp:effectExtent b="0" l="0" r="0" t="0"/>
                <wp:wrapNone/>
                <wp:docPr id="189007260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7486650" cy="2933700"/>
                        </a:xfrm>
                        <a:prstGeom prst="rect"/>
                        <a:ln/>
                      </pic:spPr>
                    </pic:pic>
                  </a:graphicData>
                </a:graphic>
              </wp:anchor>
            </w:drawing>
          </mc:Fallback>
        </mc:AlternateContent>
      </w:r>
    </w:p>
    <w:p w:rsidR="00000000" w:rsidDel="00000000" w:rsidP="00000000" w:rsidRDefault="00000000" w:rsidRPr="00000000" w14:paraId="00000006">
      <w:pPr>
        <w:rPr>
          <w:rFonts w:ascii="Aptos" w:cs="Aptos" w:eastAsia="Aptos" w:hAnsi="Aptos"/>
        </w:rPr>
      </w:pPr>
      <w:r w:rsidDel="00000000" w:rsidR="00000000" w:rsidRPr="00000000">
        <w:rPr>
          <w:rtl w:val="0"/>
        </w:rPr>
      </w:r>
    </w:p>
    <w:p w:rsidR="00000000" w:rsidDel="00000000" w:rsidP="00000000" w:rsidRDefault="00000000" w:rsidRPr="00000000" w14:paraId="00000007">
      <w:pPr>
        <w:rPr>
          <w:rFonts w:ascii="Aptos" w:cs="Aptos" w:eastAsia="Aptos" w:hAnsi="Aptos"/>
        </w:rPr>
      </w:pPr>
      <w:r w:rsidDel="00000000" w:rsidR="00000000" w:rsidRPr="00000000">
        <w:rPr>
          <w:rtl w:val="0"/>
        </w:rPr>
      </w:r>
    </w:p>
    <w:p w:rsidR="00000000" w:rsidDel="00000000" w:rsidP="00000000" w:rsidRDefault="00000000" w:rsidRPr="00000000" w14:paraId="00000008">
      <w:pPr>
        <w:rPr>
          <w:rFonts w:ascii="Aptos" w:cs="Aptos" w:eastAsia="Aptos" w:hAnsi="Aptos"/>
        </w:rPr>
      </w:pPr>
      <w:r w:rsidDel="00000000" w:rsidR="00000000" w:rsidRPr="00000000">
        <w:rPr>
          <w:rtl w:val="0"/>
        </w:rPr>
      </w:r>
    </w:p>
    <w:p w:rsidR="00000000" w:rsidDel="00000000" w:rsidP="00000000" w:rsidRDefault="00000000" w:rsidRPr="00000000" w14:paraId="00000009">
      <w:pPr>
        <w:rPr>
          <w:rFonts w:ascii="Aptos" w:cs="Aptos" w:eastAsia="Aptos" w:hAnsi="Aptos"/>
        </w:rPr>
      </w:pPr>
      <w:r w:rsidDel="00000000" w:rsidR="00000000" w:rsidRPr="00000000">
        <w:rPr>
          <w:rtl w:val="0"/>
        </w:rPr>
      </w:r>
    </w:p>
    <w:p w:rsidR="00000000" w:rsidDel="00000000" w:rsidP="00000000" w:rsidRDefault="00000000" w:rsidRPr="00000000" w14:paraId="0000000A">
      <w:pPr>
        <w:rPr>
          <w:rFonts w:ascii="Aptos" w:cs="Aptos" w:eastAsia="Aptos" w:hAnsi="Aptos"/>
        </w:rPr>
      </w:pPr>
      <w:r w:rsidDel="00000000" w:rsidR="00000000" w:rsidRPr="00000000">
        <w:rPr>
          <w:rtl w:val="0"/>
        </w:rPr>
      </w:r>
    </w:p>
    <w:p w:rsidR="00000000" w:rsidDel="00000000" w:rsidP="00000000" w:rsidRDefault="00000000" w:rsidRPr="00000000" w14:paraId="0000000B">
      <w:pPr>
        <w:rPr>
          <w:rFonts w:ascii="Aptos" w:cs="Aptos" w:eastAsia="Aptos" w:hAnsi="Aptos"/>
        </w:rPr>
      </w:pPr>
      <w:r w:rsidDel="00000000" w:rsidR="00000000" w:rsidRPr="00000000">
        <w:rPr>
          <w:rtl w:val="0"/>
        </w:rPr>
      </w:r>
    </w:p>
    <w:p w:rsidR="00000000" w:rsidDel="00000000" w:rsidP="00000000" w:rsidRDefault="00000000" w:rsidRPr="00000000" w14:paraId="0000000C">
      <w:pPr>
        <w:rPr>
          <w:rFonts w:ascii="Aptos" w:cs="Aptos" w:eastAsia="Aptos" w:hAnsi="Aptos"/>
        </w:rPr>
      </w:pPr>
      <w:r w:rsidDel="00000000" w:rsidR="00000000" w:rsidRPr="00000000">
        <w:rPr>
          <w:rtl w:val="0"/>
        </w:rPr>
      </w:r>
    </w:p>
    <w:p w:rsidR="00000000" w:rsidDel="00000000" w:rsidP="00000000" w:rsidRDefault="00000000" w:rsidRPr="00000000" w14:paraId="0000000D">
      <w:pPr>
        <w:rPr>
          <w:rFonts w:ascii="Aptos" w:cs="Aptos" w:eastAsia="Aptos" w:hAnsi="Aptos"/>
        </w:rPr>
      </w:pPr>
      <w:r w:rsidDel="00000000" w:rsidR="00000000" w:rsidRPr="00000000">
        <w:rPr>
          <w:rtl w:val="0"/>
        </w:rPr>
      </w:r>
    </w:p>
    <w:p w:rsidR="00000000" w:rsidDel="00000000" w:rsidP="00000000" w:rsidRDefault="00000000" w:rsidRPr="00000000" w14:paraId="0000000E">
      <w:pPr>
        <w:rPr>
          <w:rFonts w:ascii="Aptos" w:cs="Aptos" w:eastAsia="Aptos" w:hAnsi="Aptos"/>
        </w:rPr>
      </w:pPr>
      <w:r w:rsidDel="00000000" w:rsidR="00000000" w:rsidRPr="00000000">
        <w:rPr>
          <w:rtl w:val="0"/>
        </w:rPr>
      </w:r>
    </w:p>
    <w:p w:rsidR="00000000" w:rsidDel="00000000" w:rsidP="00000000" w:rsidRDefault="00000000" w:rsidRPr="00000000" w14:paraId="0000000F">
      <w:pPr>
        <w:rPr>
          <w:rFonts w:ascii="Aptos" w:cs="Aptos" w:eastAsia="Aptos" w:hAnsi="Aptos"/>
        </w:rPr>
      </w:pPr>
      <w:r w:rsidDel="00000000" w:rsidR="00000000" w:rsidRPr="00000000">
        <w:rPr>
          <w:rtl w:val="0"/>
        </w:rPr>
      </w:r>
    </w:p>
    <w:p w:rsidR="00000000" w:rsidDel="00000000" w:rsidP="00000000" w:rsidRDefault="00000000" w:rsidRPr="00000000" w14:paraId="00000010">
      <w:pPr>
        <w:rPr>
          <w:rFonts w:ascii="Aptos" w:cs="Aptos" w:eastAsia="Aptos" w:hAnsi="Aptos"/>
        </w:rPr>
      </w:pPr>
      <w:r w:rsidDel="00000000" w:rsidR="00000000" w:rsidRPr="00000000">
        <w:rPr>
          <w:rtl w:val="0"/>
        </w:rPr>
      </w:r>
    </w:p>
    <w:p w:rsidR="00000000" w:rsidDel="00000000" w:rsidP="00000000" w:rsidRDefault="00000000" w:rsidRPr="00000000" w14:paraId="00000011">
      <w:pPr>
        <w:spacing w:after="280" w:before="280" w:lineRule="auto"/>
        <w:jc w:val="center"/>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 </w:t>
      </w:r>
      <w:r w:rsidDel="00000000" w:rsidR="00000000" w:rsidRPr="00000000">
        <w:br w:type="page"/>
      </w:r>
      <w:r w:rsidDel="00000000" w:rsidR="00000000" w:rsidRPr="00000000">
        <w:rPr>
          <w:rFonts w:ascii="Aptos" w:cs="Aptos" w:eastAsia="Aptos" w:hAnsi="Aptos"/>
          <w:b w:val="1"/>
          <w:bCs w:val="1"/>
          <w:sz w:val="32"/>
          <w:szCs w:val="32"/>
          <w:rtl w:val="0"/>
        </w:rPr>
        <w:t xml:space="preserve">Customizable Letter to Legislature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735331</wp:posOffset>
                </wp:positionH>
                <wp:positionV relativeFrom="paragraph">
                  <wp:posOffset>126120</wp:posOffset>
                </wp:positionV>
                <wp:extent cx="4479042" cy="523044"/>
                <wp:effectExtent b="0" l="0" r="0" t="0"/>
                <wp:wrapNone/>
                <wp:docPr id="1890072601" name=""/>
                <a:graphic>
                  <a:graphicData uri="http://schemas.microsoft.com/office/word/2010/wordprocessingShape">
                    <wps:wsp>
                      <wps:cNvSpPr/>
                      <wps:cNvPr id="2" name="Shape 2"/>
                      <wps:spPr>
                        <a:xfrm>
                          <a:off x="3116004" y="3531806"/>
                          <a:ext cx="4459992" cy="496389"/>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ptos" w:cs="Aptos" w:eastAsia="Aptos" w:hAnsi="Aptos"/>
                                <w:b w:val="0"/>
                                <w:i w:val="0"/>
                                <w:smallCaps w:val="0"/>
                                <w:strike w:val="0"/>
                                <w:color w:val="000000"/>
                                <w:sz w:val="24"/>
                                <w:vertAlign w:val="baseline"/>
                              </w:rPr>
                              <w:t xml:space="preserve">Produced in partnership with the Students, Residents and Fellows Trauma Advocacy Coalition (SRF-TAC)</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735331</wp:posOffset>
                </wp:positionH>
                <wp:positionV relativeFrom="paragraph">
                  <wp:posOffset>126120</wp:posOffset>
                </wp:positionV>
                <wp:extent cx="4479042" cy="523044"/>
                <wp:effectExtent b="0" l="0" r="0" t="0"/>
                <wp:wrapNone/>
                <wp:docPr id="189007260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479042" cy="523044"/>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2086707</wp:posOffset>
            </wp:positionH>
            <wp:positionV relativeFrom="paragraph">
              <wp:posOffset>894030</wp:posOffset>
            </wp:positionV>
            <wp:extent cx="2136510" cy="1863969"/>
            <wp:effectExtent b="0" l="0" r="0" t="0"/>
            <wp:wrapNone/>
            <wp:docPr descr="Logo&#10;&#10;AI-generated content may be incorrect." id="1890072604" name="image2.jpg"/>
            <a:graphic>
              <a:graphicData uri="http://schemas.openxmlformats.org/drawingml/2006/picture">
                <pic:pic>
                  <pic:nvPicPr>
                    <pic:cNvPr descr="Logo&#10;&#10;AI-generated content may be incorrect." id="0" name="image2.jpg"/>
                    <pic:cNvPicPr preferRelativeResize="0"/>
                  </pic:nvPicPr>
                  <pic:blipFill>
                    <a:blip r:embed="rId9"/>
                    <a:srcRect b="0" l="0" r="0" t="0"/>
                    <a:stretch>
                      <a:fillRect/>
                    </a:stretch>
                  </pic:blipFill>
                  <pic:spPr>
                    <a:xfrm>
                      <a:off x="0" y="0"/>
                      <a:ext cx="2136510" cy="1863969"/>
                    </a:xfrm>
                    <a:prstGeom prst="rect"/>
                    <a:ln/>
                  </pic:spPr>
                </pic:pic>
              </a:graphicData>
            </a:graphic>
          </wp:anchor>
        </w:drawing>
      </w:r>
    </w:p>
    <w:p w:rsidR="00000000" w:rsidDel="00000000" w:rsidP="00000000" w:rsidRDefault="00000000" w:rsidRPr="00000000" w14:paraId="00000012">
      <w:pPr>
        <w:spacing w:after="280" w:before="280" w:lineRule="auto"/>
        <w:rPr>
          <w:rFonts w:ascii="Aptos" w:cs="Aptos" w:eastAsia="Aptos" w:hAnsi="Aptos"/>
          <w:sz w:val="22"/>
          <w:szCs w:val="22"/>
        </w:rPr>
      </w:pPr>
      <w:r w:rsidDel="00000000" w:rsidR="00000000" w:rsidRPr="00000000">
        <w:rPr>
          <w:rFonts w:ascii="Aptos" w:cs="Aptos" w:eastAsia="Aptos" w:hAnsi="Aptos"/>
          <w:b w:val="1"/>
          <w:bCs w:val="1"/>
          <w:sz w:val="22"/>
          <w:szCs w:val="22"/>
          <w:rtl w:val="0"/>
        </w:rPr>
        <w:t xml:space="preserve">[Your Letterhead or Organization Name]</w:t>
      </w:r>
      <w:r w:rsidDel="00000000" w:rsidR="00000000" w:rsidRPr="00000000">
        <w:rPr>
          <w:rFonts w:ascii="Aptos" w:cs="Aptos" w:eastAsia="Aptos" w:hAnsi="Aptos"/>
          <w:sz w:val="22"/>
          <w:szCs w:val="22"/>
          <w:rtl w:val="0"/>
        </w:rPr>
        <w:br w:type="textWrapping"/>
        <w:t xml:space="preserve">[Date]</w:t>
      </w:r>
    </w:p>
    <w:p w:rsidR="00000000" w:rsidDel="00000000" w:rsidP="00000000" w:rsidRDefault="00000000" w:rsidRPr="00000000" w14:paraId="00000013">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Dear [Legislator’s Title and Last Name],</w:t>
      </w:r>
    </w:p>
    <w:p w:rsidR="00000000" w:rsidDel="00000000" w:rsidP="00000000" w:rsidRDefault="00000000" w:rsidRPr="00000000" w14:paraId="00000014">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We are writing to respectfully urge your support for establishing a statewide </w:t>
      </w:r>
      <w:r w:rsidDel="00000000" w:rsidR="00000000" w:rsidRPr="00000000">
        <w:rPr>
          <w:rFonts w:ascii="Aptos" w:cs="Aptos" w:eastAsia="Aptos" w:hAnsi="Aptos"/>
          <w:b w:val="1"/>
          <w:bCs w:val="1"/>
          <w:sz w:val="22"/>
          <w:szCs w:val="22"/>
          <w:rtl w:val="0"/>
        </w:rPr>
        <w:t xml:space="preserve">prehospital blood product transfusion program</w:t>
      </w:r>
      <w:r w:rsidDel="00000000" w:rsidR="00000000" w:rsidRPr="00000000">
        <w:rPr>
          <w:rFonts w:ascii="Aptos" w:cs="Aptos" w:eastAsia="Aptos" w:hAnsi="Aptos"/>
          <w:sz w:val="22"/>
          <w:szCs w:val="22"/>
          <w:rtl w:val="0"/>
        </w:rPr>
        <w:t xml:space="preserve"> to bring the most clinically impactful advancement in emergency medicine in decades to your community.</w:t>
      </w:r>
    </w:p>
    <w:p w:rsidR="00000000" w:rsidDel="00000000" w:rsidP="00000000" w:rsidRDefault="00000000" w:rsidRPr="00000000" w14:paraId="00000015">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The Need</w:t>
      </w:r>
    </w:p>
    <w:p w:rsidR="00000000" w:rsidDel="00000000" w:rsidP="00000000" w:rsidRDefault="00000000" w:rsidRPr="00000000" w14:paraId="00000016">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Uncontrolled bleeding is one of the leading preventable causes of death in trauma, maternal hemorrhage, and other critical emergencies. Every year, thousands of patients are alive at the scene of a crash only to die before or shortly after reaching a hospital. High quality research and field experience—particularly from recent military conflicts—have demonstrated that prehospital transfusion of </w:t>
      </w:r>
      <w:r w:rsidDel="00000000" w:rsidR="00000000" w:rsidRPr="00000000">
        <w:rPr>
          <w:rFonts w:ascii="Aptos" w:cs="Aptos" w:eastAsia="Aptos" w:hAnsi="Aptos"/>
          <w:b w:val="1"/>
          <w:bCs w:val="1"/>
          <w:sz w:val="22"/>
          <w:szCs w:val="22"/>
          <w:rtl w:val="0"/>
        </w:rPr>
        <w:t xml:space="preserve">blood products </w:t>
      </w:r>
      <w:r w:rsidDel="00000000" w:rsidR="00000000" w:rsidRPr="00000000">
        <w:rPr>
          <w:rFonts w:ascii="Aptos" w:cs="Aptos" w:eastAsia="Aptos" w:hAnsi="Aptos"/>
          <w:sz w:val="22"/>
          <w:szCs w:val="22"/>
          <w:rtl w:val="0"/>
        </w:rPr>
        <w:t xml:space="preserve">saves lives by stabilizing patients before they arrive at hospitals. No intervention will save more lives than implementation of a comprehensive prehospital blood program. </w:t>
      </w:r>
    </w:p>
    <w:p w:rsidR="00000000" w:rsidDel="00000000" w:rsidP="00000000" w:rsidRDefault="00000000" w:rsidRPr="00000000" w14:paraId="00000017">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Unfortunately, most EMS agencies lack the resources to carry blood products. The main barrier to statewide implementation is </w:t>
      </w:r>
      <w:r w:rsidDel="00000000" w:rsidR="00000000" w:rsidRPr="00000000">
        <w:rPr>
          <w:rFonts w:ascii="Aptos" w:cs="Aptos" w:eastAsia="Aptos" w:hAnsi="Aptos"/>
          <w:b w:val="1"/>
          <w:bCs w:val="1"/>
          <w:sz w:val="22"/>
          <w:szCs w:val="22"/>
          <w:rtl w:val="0"/>
        </w:rPr>
        <w:t xml:space="preserve">cost</w:t>
      </w:r>
      <w:r w:rsidDel="00000000" w:rsidR="00000000" w:rsidRPr="00000000">
        <w:rPr>
          <w:rFonts w:ascii="Aptos" w:cs="Aptos" w:eastAsia="Aptos" w:hAnsi="Aptos"/>
          <w:sz w:val="22"/>
          <w:szCs w:val="22"/>
          <w:rtl w:val="0"/>
        </w:rPr>
        <w:t xml:space="preserve">. Nationally only 2-3% of ground EMS agencies carry blood and in Georgia there is only [one] ground EMS agency that carries it.  Without state-level support, very few EMS agencies can provide this lifesaving intervention.</w:t>
      </w:r>
    </w:p>
    <w:p w:rsidR="00000000" w:rsidDel="00000000" w:rsidP="00000000" w:rsidRDefault="00000000" w:rsidRPr="00000000" w14:paraId="00000018">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A Proven Model</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In Texas, which had 8,491 fatalities with 36% or  4,705 alive on scene from 2021-2023, the Department of State Health Services has recently dedicated </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$10 million in state funding for a Prehospital Blood Transfusion Program</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beginning in fiscal year 2026. This fund will be distributed in $5 million per year increments amongst 254 counties that together have a population of 31 million. The legislation directs the Department, in consultation with Regional Advisory Councils, </w:t>
      </w:r>
      <w:r w:rsidDel="00000000" w:rsidR="00000000" w:rsidRPr="00000000">
        <w:rPr>
          <w:rFonts w:ascii="Aptos" w:cs="Aptos" w:eastAsia="Aptos" w:hAnsi="Aptos"/>
          <w:sz w:val="22"/>
          <w:szCs w:val="22"/>
          <w:rtl w:val="0"/>
        </w:rPr>
        <w:t xml:space="preserve">to establish</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cost-effective and oversight methods for distribution across the state. The program requires public reporting on:</w:t>
      </w:r>
      <w:r w:rsidDel="00000000" w:rsidR="00000000" w:rsidRPr="00000000">
        <w:rPr>
          <w:rtl w:val="0"/>
        </w:rPr>
      </w:r>
    </w:p>
    <w:p w:rsidR="00000000" w:rsidDel="00000000" w:rsidP="00000000" w:rsidRDefault="00000000" w:rsidRPr="00000000" w14:paraId="0000001A">
      <w:pPr>
        <w:numPr>
          <w:ilvl w:val="0"/>
          <w:numId w:val="1"/>
        </w:numPr>
        <w:spacing w:after="0" w:before="28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Which entities receive funding</w:t>
      </w:r>
    </w:p>
    <w:p w:rsidR="00000000" w:rsidDel="00000000" w:rsidP="00000000" w:rsidRDefault="00000000" w:rsidRPr="00000000" w14:paraId="0000001B">
      <w:pPr>
        <w:numPr>
          <w:ilvl w:val="0"/>
          <w:numId w:val="1"/>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How much was awarded</w:t>
      </w:r>
    </w:p>
    <w:p w:rsidR="00000000" w:rsidDel="00000000" w:rsidP="00000000" w:rsidRDefault="00000000" w:rsidRPr="00000000" w14:paraId="0000001C">
      <w:pPr>
        <w:numPr>
          <w:ilvl w:val="0"/>
          <w:numId w:val="1"/>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Geographic areas covered</w:t>
      </w:r>
    </w:p>
    <w:p w:rsidR="00000000" w:rsidDel="00000000" w:rsidP="00000000" w:rsidRDefault="00000000" w:rsidRPr="00000000" w14:paraId="0000001D">
      <w:pPr>
        <w:numPr>
          <w:ilvl w:val="0"/>
          <w:numId w:val="1"/>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Challenges encountered</w:t>
      </w:r>
    </w:p>
    <w:p w:rsidR="00000000" w:rsidDel="00000000" w:rsidP="00000000" w:rsidRDefault="00000000" w:rsidRPr="00000000" w14:paraId="0000001E">
      <w:pPr>
        <w:numPr>
          <w:ilvl w:val="0"/>
          <w:numId w:val="1"/>
        </w:numPr>
        <w:spacing w:after="28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Outcomes of the program</w:t>
      </w:r>
    </w:p>
    <w:p w:rsidR="00000000" w:rsidDel="00000000" w:rsidP="00000000" w:rsidRDefault="00000000" w:rsidRPr="00000000" w14:paraId="0000001F">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This structure ensures transparency, accountability, and measurable impact.</w:t>
      </w:r>
    </w:p>
    <w:p w:rsidR="00000000" w:rsidDel="00000000" w:rsidP="00000000" w:rsidRDefault="00000000" w:rsidRPr="00000000" w14:paraId="00000020">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Clinical and Fiscal Benefits</w:t>
      </w:r>
    </w:p>
    <w:p w:rsidR="00000000" w:rsidDel="00000000" w:rsidP="00000000" w:rsidRDefault="00000000" w:rsidRPr="00000000" w14:paraId="00000021">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South Texas EMS agencies have shown that a </w:t>
      </w:r>
      <w:r w:rsidDel="00000000" w:rsidR="00000000" w:rsidRPr="00000000">
        <w:rPr>
          <w:rFonts w:ascii="Aptos" w:cs="Aptos" w:eastAsia="Aptos" w:hAnsi="Aptos"/>
          <w:b w:val="1"/>
          <w:bCs w:val="1"/>
          <w:sz w:val="22"/>
          <w:szCs w:val="22"/>
          <w:rtl w:val="0"/>
        </w:rPr>
        <w:t xml:space="preserve">blood rotation program</w:t>
      </w:r>
      <w:r w:rsidDel="00000000" w:rsidR="00000000" w:rsidRPr="00000000">
        <w:rPr>
          <w:rFonts w:ascii="Aptos" w:cs="Aptos" w:eastAsia="Aptos" w:hAnsi="Aptos"/>
          <w:sz w:val="22"/>
          <w:szCs w:val="22"/>
          <w:rtl w:val="0"/>
        </w:rPr>
        <w:t xml:space="preserve"> with hospitals results in less than 1% product wastage. At University Hospital in San Antonio, prehospital transfusions reduced downstream hospital transfusion needs, saving </w:t>
      </w:r>
      <w:r w:rsidDel="00000000" w:rsidR="00000000" w:rsidRPr="00000000">
        <w:rPr>
          <w:rFonts w:ascii="Aptos" w:cs="Aptos" w:eastAsia="Aptos" w:hAnsi="Aptos"/>
          <w:b w:val="1"/>
          <w:bCs w:val="1"/>
          <w:sz w:val="22"/>
          <w:szCs w:val="22"/>
          <w:rtl w:val="0"/>
        </w:rPr>
        <w:t xml:space="preserve">over $1 million in one year</w:t>
      </w:r>
      <w:r w:rsidDel="00000000" w:rsidR="00000000" w:rsidRPr="00000000">
        <w:rPr>
          <w:rFonts w:ascii="Aptos" w:cs="Aptos" w:eastAsia="Aptos" w:hAnsi="Aptos"/>
          <w:sz w:val="22"/>
          <w:szCs w:val="22"/>
          <w:rtl w:val="0"/>
        </w:rPr>
        <w:t xml:space="preserve"> while improving survival. This financial benefit has also been further reinforced with recent research showing that every $15,725 spent on prehospital whole blood transfusion in adults resulted in one additional unexpected survivor. Furthermore, recent research in pediatric trauma patients showed an even greater production of unexpected survivors in the 0-17 age population. In that study every $4,625 spent on prehospital whole blood transfusion in pediatric patients resulted in one additional unexpected survivor. </w:t>
      </w:r>
    </w:p>
    <w:p w:rsidR="00000000" w:rsidDel="00000000" w:rsidP="00000000" w:rsidRDefault="00000000" w:rsidRPr="00000000" w14:paraId="00000022">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Research indicates that early blood product transfusion could reduce trauma death rates by at least </w:t>
      </w:r>
      <w:r w:rsidDel="00000000" w:rsidR="00000000" w:rsidRPr="00000000">
        <w:rPr>
          <w:rFonts w:ascii="Aptos" w:cs="Aptos" w:eastAsia="Aptos" w:hAnsi="Aptos"/>
          <w:b w:val="1"/>
          <w:bCs w:val="1"/>
          <w:sz w:val="22"/>
          <w:szCs w:val="22"/>
          <w:rtl w:val="0"/>
        </w:rPr>
        <w:t xml:space="preserve">25%</w:t>
      </w:r>
      <w:r w:rsidDel="00000000" w:rsidR="00000000" w:rsidRPr="00000000">
        <w:rPr>
          <w:rFonts w:ascii="Aptos" w:cs="Aptos" w:eastAsia="Aptos" w:hAnsi="Aptos"/>
          <w:sz w:val="22"/>
          <w:szCs w:val="22"/>
          <w:rtl w:val="0"/>
        </w:rPr>
        <w:t xml:space="preserve">, translating to hundreds of lives saved annually in your state.</w:t>
      </w:r>
    </w:p>
    <w:p w:rsidR="00000000" w:rsidDel="00000000" w:rsidP="00000000" w:rsidRDefault="00000000" w:rsidRPr="00000000" w14:paraId="00000023">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Specifically, in the state of Georgia, between the years of 2021-2023 there were 5,172 deaths according to the Fatality Analysis Reporting System (FARS) from the National Highway Traffic Safety Administration (NHTSA). According to the FARS database 36.6% or 1,894, of those individuals were alive at the scene and died sometime after EMS arrived. That means 1,894 individuals could have had a 25% better chance of surviving by receiving prehospital blood products if Georgia had a prehospital blood product transfusion system established. That would correlate to over 474 lives that could be saved with prehospital blood product transfusion. Furthermore, when looking at the distribution of populations that are alive on scene, the two age groups that had the highest percentage of patients who were alive on scene are those in the 0-15 and 55+ age group.  This highlights a critical need for a change in transfusion policy in the state of Georgia to allow for transfusion of those less than 16 years old. This data is just from highway crashes in your state. Our experience has shown that once implemented fully, 50% of prehospital transfusions are to non-trauma patients, especially those in hemorrhagic shock from post-partum hemorrhage, and gastrointestinal bleeding, etc. Soon we hope to access another more comprehensive database, the National Emergency Medical Services Information System, (NEMSIS) and can likely document that the lives saved in your state could easily be double that shown above. </w:t>
      </w:r>
    </w:p>
    <w:p w:rsidR="00000000" w:rsidDel="00000000" w:rsidP="00000000" w:rsidRDefault="00000000" w:rsidRPr="00000000" w14:paraId="00000024">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Estimated Sustainment Cost</w:t>
      </w:r>
    </w:p>
    <w:p w:rsidR="00000000" w:rsidDel="00000000" w:rsidP="00000000" w:rsidRDefault="00000000" w:rsidRPr="00000000" w14:paraId="00000025">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The cost of implementing a statewide PHWB program largely depends on the current EMS resources and the geographic distribution of the population in any given state. However, using data from two years of a busy trauma region’s pre-hospital blood utilization, we can estimate the maintenance costs of an established program. To accomplish this, we compiled the number of units used across 27 EMS agencies in 22 counties. Factoring in the units given by air medical services, we were able to calculate the number of units needed per capita per year. Given the current cost of a single unit of blood, we estimate that sustaining a state-wide whole blood program would cost approximately $0.24 per capita. This formula is reflected in the table below for Georgia. In addition, start-up equipment </w:t>
      </w:r>
      <w:r w:rsidDel="00000000" w:rsidR="00000000" w:rsidRPr="00000000">
        <w:rPr>
          <w:rFonts w:ascii="Aptos" w:cs="Aptos" w:eastAsia="Aptos" w:hAnsi="Aptos"/>
          <w:sz w:val="22"/>
          <w:szCs w:val="22"/>
          <w:rtl w:val="0"/>
        </w:rPr>
        <w:t xml:space="preserve">costs average</w:t>
      </w:r>
      <w:r w:rsidDel="00000000" w:rsidR="00000000" w:rsidRPr="00000000">
        <w:rPr>
          <w:rFonts w:ascii="Aptos" w:cs="Aptos" w:eastAsia="Aptos" w:hAnsi="Aptos"/>
          <w:sz w:val="22"/>
          <w:szCs w:val="22"/>
          <w:rtl w:val="0"/>
        </w:rPr>
        <w:t xml:space="preserve"> </w:t>
      </w:r>
      <w:r w:rsidDel="00000000" w:rsidR="00000000" w:rsidRPr="00000000">
        <w:rPr>
          <w:rFonts w:ascii="Aptos" w:cs="Aptos" w:eastAsia="Aptos" w:hAnsi="Aptos"/>
          <w:sz w:val="22"/>
          <w:szCs w:val="22"/>
          <w:rtl w:val="0"/>
        </w:rPr>
        <w:t xml:space="preserve">$12,000</w:t>
      </w:r>
      <w:r w:rsidDel="00000000" w:rsidR="00000000" w:rsidRPr="00000000">
        <w:rPr>
          <w:rFonts w:ascii="Aptos" w:cs="Aptos" w:eastAsia="Aptos" w:hAnsi="Aptos"/>
          <w:sz w:val="22"/>
          <w:szCs w:val="22"/>
          <w:rtl w:val="0"/>
        </w:rPr>
        <w:t xml:space="preserve"> per EMS agency providing prehospital blood products, which should be factored into legislative budget requests.</w:t>
      </w:r>
    </w:p>
    <w:tbl>
      <w:tblPr>
        <w:tblStyle w:val="Table1"/>
        <w:tblW w:w="100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1605"/>
        <w:gridCol w:w="1755"/>
        <w:gridCol w:w="2250"/>
        <w:gridCol w:w="2805"/>
        <w:tblGridChange w:id="0">
          <w:tblGrid>
            <w:gridCol w:w="1680"/>
            <w:gridCol w:w="1605"/>
            <w:gridCol w:w="1755"/>
            <w:gridCol w:w="2250"/>
            <w:gridCol w:w="2805"/>
          </w:tblGrid>
        </w:tblGridChange>
      </w:tblGrid>
      <w:tr>
        <w:trPr>
          <w:cantSplit w:val="0"/>
          <w:trHeight w:val="730.6640625" w:hRule="atLeast"/>
          <w:tblHeader w:val="0"/>
        </w:trPr>
        <w:tc>
          <w:tcPr>
            <w:tcBorders>
              <w:top w:color="000000" w:space="0" w:sz="3" w:val="single"/>
              <w:left w:color="000000" w:space="0" w:sz="3" w:val="single"/>
              <w:bottom w:color="000000" w:space="0" w:sz="3" w:val="single"/>
              <w:right w:color="000000" w:space="0" w:sz="3" w:val="single"/>
            </w:tcBorders>
            <w:shd w:fill="4f81bd" w:val="clear"/>
            <w:tcMar>
              <w:top w:w="20.0" w:type="dxa"/>
              <w:left w:w="20.0" w:type="dxa"/>
              <w:bottom w:w="100.0" w:type="dxa"/>
              <w:right w:w="20.0" w:type="dxa"/>
            </w:tcMar>
            <w:vAlign w:val="center"/>
          </w:tcPr>
          <w:p w:rsidR="00000000" w:rsidDel="00000000" w:rsidP="00000000" w:rsidRDefault="00000000" w:rsidRPr="00000000" w14:paraId="00000026">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 Population (2024) </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shd w:fill="4f81bd" w:val="clear"/>
            <w:tcMar>
              <w:top w:w="20.0" w:type="dxa"/>
              <w:left w:w="20.0" w:type="dxa"/>
              <w:bottom w:w="100.0" w:type="dxa"/>
              <w:right w:w="20.0" w:type="dxa"/>
            </w:tcMar>
            <w:vAlign w:val="center"/>
          </w:tcPr>
          <w:p w:rsidR="00000000" w:rsidDel="00000000" w:rsidP="00000000" w:rsidRDefault="00000000" w:rsidRPr="00000000" w14:paraId="00000027">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Monthly WB Utilization per capita</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shd w:fill="4f81bd" w:val="clear"/>
            <w:tcMar>
              <w:top w:w="20.0" w:type="dxa"/>
              <w:left w:w="20.0" w:type="dxa"/>
              <w:bottom w:w="100.0" w:type="dxa"/>
              <w:right w:w="20.0" w:type="dxa"/>
            </w:tcMar>
            <w:vAlign w:val="center"/>
          </w:tcPr>
          <w:p w:rsidR="00000000" w:rsidDel="00000000" w:rsidP="00000000" w:rsidRDefault="00000000" w:rsidRPr="00000000" w14:paraId="00000028">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Annual Cost per capita</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shd w:fill="595959" w:val="clear"/>
            <w:tcMar>
              <w:top w:w="20.0" w:type="dxa"/>
              <w:left w:w="20.0" w:type="dxa"/>
              <w:bottom w:w="100.0" w:type="dxa"/>
              <w:right w:w="20.0" w:type="dxa"/>
            </w:tcMar>
            <w:vAlign w:val="center"/>
          </w:tcPr>
          <w:p w:rsidR="00000000" w:rsidDel="00000000" w:rsidP="00000000" w:rsidRDefault="00000000" w:rsidRPr="00000000" w14:paraId="00000029">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Estimated Monthly Cost</w:t>
            </w:r>
            <w:r w:rsidDel="00000000" w:rsidR="00000000" w:rsidRPr="00000000">
              <w:rPr>
                <w:rtl w:val="0"/>
              </w:rPr>
            </w:r>
          </w:p>
        </w:tc>
        <w:tc>
          <w:tcPr>
            <w:tcBorders>
              <w:top w:color="000000" w:space="0" w:sz="3" w:val="single"/>
              <w:left w:color="000000" w:space="0" w:sz="0" w:val="nil"/>
              <w:bottom w:color="000000" w:space="0" w:sz="3" w:val="single"/>
              <w:right w:color="000000" w:space="0" w:sz="3" w:val="single"/>
            </w:tcBorders>
            <w:shd w:fill="595959" w:val="clear"/>
            <w:tcMar>
              <w:top w:w="20.0" w:type="dxa"/>
              <w:left w:w="20.0" w:type="dxa"/>
              <w:bottom w:w="100.0" w:type="dxa"/>
              <w:right w:w="20.0" w:type="dxa"/>
            </w:tcMar>
            <w:vAlign w:val="center"/>
          </w:tcPr>
          <w:p w:rsidR="00000000" w:rsidDel="00000000" w:rsidP="00000000" w:rsidRDefault="00000000" w:rsidRPr="00000000" w14:paraId="0000002A">
            <w:pPr>
              <w:jc w:val="center"/>
              <w:rPr>
                <w:rFonts w:ascii="Calibri" w:cs="Calibri" w:eastAsia="Calibri" w:hAnsi="Calibri"/>
                <w:b w:val="1"/>
                <w:bCs w:val="1"/>
                <w:color w:val="ffffff"/>
                <w:sz w:val="22"/>
                <w:szCs w:val="22"/>
              </w:rPr>
            </w:pPr>
            <w:r w:rsidDel="00000000" w:rsidR="00000000" w:rsidRPr="00000000">
              <w:rPr>
                <w:rFonts w:ascii="Calibri" w:cs="Calibri" w:eastAsia="Calibri" w:hAnsi="Calibri"/>
                <w:b w:val="1"/>
                <w:bCs w:val="1"/>
                <w:color w:val="ffffff"/>
                <w:sz w:val="22"/>
                <w:szCs w:val="22"/>
                <w:rtl w:val="0"/>
              </w:rPr>
              <w:t xml:space="preserve">Estimated</w:t>
            </w:r>
          </w:p>
          <w:p w:rsidR="00000000" w:rsidDel="00000000" w:rsidP="00000000" w:rsidRDefault="00000000" w:rsidRPr="00000000" w14:paraId="0000002B">
            <w:pPr>
              <w:jc w:val="center"/>
              <w:rPr>
                <w:rFonts w:ascii="Aptos" w:cs="Aptos" w:eastAsia="Aptos" w:hAnsi="Aptos"/>
                <w:sz w:val="22"/>
                <w:szCs w:val="22"/>
              </w:rPr>
            </w:pPr>
            <w:r w:rsidDel="00000000" w:rsidR="00000000" w:rsidRPr="00000000">
              <w:rPr>
                <w:rFonts w:ascii="Calibri" w:cs="Calibri" w:eastAsia="Calibri" w:hAnsi="Calibri"/>
                <w:b w:val="1"/>
                <w:bCs w:val="1"/>
                <w:color w:val="ffffff"/>
                <w:sz w:val="22"/>
                <w:szCs w:val="22"/>
                <w:rtl w:val="0"/>
              </w:rPr>
              <w:t xml:space="preserve">Annual Cost</w:t>
            </w:r>
            <w:r w:rsidDel="00000000" w:rsidR="00000000" w:rsidRPr="00000000">
              <w:rPr>
                <w:rtl w:val="0"/>
              </w:rPr>
            </w:r>
          </w:p>
        </w:tc>
      </w:tr>
      <w:tr>
        <w:trPr>
          <w:cantSplit w:val="0"/>
          <w:trHeight w:val="400" w:hRule="atLeast"/>
          <w:tblHeader w:val="0"/>
        </w:trPr>
        <w:tc>
          <w:tcPr>
            <w:tcBorders>
              <w:top w:color="000000" w:space="0" w:sz="0" w:val="nil"/>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C">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11,064,432</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D">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3.97428E-05</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E">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0.24</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2F">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 $   </w:t>
              <w:tab/>
              <w:t xml:space="preserve">219,865.56</w:t>
            </w:r>
            <w:r w:rsidDel="00000000" w:rsidR="00000000" w:rsidRPr="00000000">
              <w:rPr>
                <w:rtl w:val="0"/>
              </w:rPr>
            </w:r>
          </w:p>
        </w:tc>
        <w:tc>
          <w:tcPr>
            <w:tcBorders>
              <w:top w:color="000000" w:space="0" w:sz="0" w:val="nil"/>
              <w:left w:color="000000" w:space="0" w:sz="0" w:val="nil"/>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030">
            <w:pPr>
              <w:jc w:val="center"/>
              <w:rPr>
                <w:rFonts w:ascii="Aptos" w:cs="Aptos" w:eastAsia="Aptos" w:hAnsi="Aptos"/>
                <w:sz w:val="22"/>
                <w:szCs w:val="22"/>
              </w:rPr>
            </w:pPr>
            <w:r w:rsidDel="00000000" w:rsidR="00000000" w:rsidRPr="00000000">
              <w:rPr>
                <w:rFonts w:ascii="Calibri" w:cs="Calibri" w:eastAsia="Calibri" w:hAnsi="Calibri"/>
                <w:sz w:val="22"/>
                <w:szCs w:val="22"/>
                <w:rtl w:val="0"/>
              </w:rPr>
              <w:t xml:space="preserve"> $  </w:t>
              <w:tab/>
              <w:t xml:space="preserve">2,638,386.72</w:t>
            </w:r>
            <w:r w:rsidDel="00000000" w:rsidR="00000000" w:rsidRPr="00000000">
              <w:rPr>
                <w:rtl w:val="0"/>
              </w:rPr>
            </w:r>
          </w:p>
        </w:tc>
      </w:tr>
    </w:tbl>
    <w:p w:rsidR="00000000" w:rsidDel="00000000" w:rsidP="00000000" w:rsidRDefault="00000000" w:rsidRPr="00000000" w14:paraId="00000031">
      <w:pPr>
        <w:spacing w:after="280" w:before="280" w:lineRule="auto"/>
        <w:rPr>
          <w:rFonts w:ascii="Aptos" w:cs="Aptos" w:eastAsia="Aptos" w:hAnsi="Aptos"/>
          <w:b w:val="1"/>
          <w:bCs w:val="1"/>
          <w:sz w:val="32"/>
          <w:szCs w:val="32"/>
        </w:rPr>
      </w:pPr>
      <w:r w:rsidDel="00000000" w:rsidR="00000000" w:rsidRPr="00000000">
        <w:rPr>
          <w:rtl w:val="0"/>
        </w:rPr>
      </w:r>
    </w:p>
    <w:p w:rsidR="00000000" w:rsidDel="00000000" w:rsidP="00000000" w:rsidRDefault="00000000" w:rsidRPr="00000000" w14:paraId="00000032">
      <w:pPr>
        <w:spacing w:after="280" w:before="280" w:lineRule="auto"/>
        <w:rPr>
          <w:rFonts w:ascii="Aptos" w:cs="Aptos" w:eastAsia="Aptos" w:hAnsi="Aptos"/>
          <w:b w:val="1"/>
          <w:bCs w:val="1"/>
          <w:sz w:val="32"/>
          <w:szCs w:val="32"/>
        </w:rPr>
      </w:pPr>
      <w:r w:rsidDel="00000000" w:rsidR="00000000" w:rsidRPr="00000000">
        <w:rPr>
          <w:rFonts w:ascii="Aptos" w:cs="Aptos" w:eastAsia="Aptos" w:hAnsi="Aptos"/>
          <w:b w:val="1"/>
          <w:bCs w:val="1"/>
          <w:sz w:val="32"/>
          <w:szCs w:val="32"/>
          <w:rtl w:val="0"/>
        </w:rPr>
        <w:t xml:space="preserve">Request</w:t>
      </w:r>
    </w:p>
    <w:p w:rsidR="00000000" w:rsidDel="00000000" w:rsidP="00000000" w:rsidRDefault="00000000" w:rsidRPr="00000000" w14:paraId="00000033">
      <w:pPr>
        <w:spacing w:after="280" w:before="280" w:lineRule="auto"/>
        <w:rPr>
          <w:rFonts w:ascii="Aptos" w:cs="Aptos" w:eastAsia="Aptos" w:hAnsi="Aptos"/>
          <w:b w:val="1"/>
          <w:bCs w:val="1"/>
          <w:sz w:val="32"/>
          <w:szCs w:val="32"/>
        </w:rPr>
      </w:pPr>
      <w:r w:rsidDel="00000000" w:rsidR="00000000" w:rsidRPr="00000000">
        <w:rPr>
          <w:rFonts w:ascii="Aptos" w:cs="Aptos" w:eastAsia="Aptos" w:hAnsi="Aptos"/>
          <w:sz w:val="22"/>
          <w:szCs w:val="22"/>
          <w:rtl w:val="0"/>
        </w:rPr>
        <w:t xml:space="preserve">We ask that you consider supporting legislation to:</w:t>
      </w:r>
      <w:r w:rsidDel="00000000" w:rsidR="00000000" w:rsidRPr="00000000">
        <w:rPr>
          <w:rtl w:val="0"/>
        </w:rPr>
      </w:r>
    </w:p>
    <w:p w:rsidR="00000000" w:rsidDel="00000000" w:rsidP="00000000" w:rsidRDefault="00000000" w:rsidRPr="00000000" w14:paraId="00000034">
      <w:pPr>
        <w:numPr>
          <w:ilvl w:val="0"/>
          <w:numId w:val="2"/>
        </w:numPr>
        <w:spacing w:after="0" w:before="28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Establish a </w:t>
      </w:r>
      <w:r w:rsidDel="00000000" w:rsidR="00000000" w:rsidRPr="00000000">
        <w:rPr>
          <w:rFonts w:ascii="Aptos" w:cs="Aptos" w:eastAsia="Aptos" w:hAnsi="Aptos"/>
          <w:b w:val="1"/>
          <w:bCs w:val="1"/>
          <w:sz w:val="22"/>
          <w:szCs w:val="22"/>
          <w:rtl w:val="0"/>
        </w:rPr>
        <w:t xml:space="preserve">state-funded prehospital blood product transfusion program</w:t>
      </w:r>
      <w:r w:rsidDel="00000000" w:rsidR="00000000" w:rsidRPr="00000000">
        <w:rPr>
          <w:rFonts w:ascii="Aptos" w:cs="Aptos" w:eastAsia="Aptos" w:hAnsi="Aptos"/>
          <w:sz w:val="22"/>
          <w:szCs w:val="22"/>
          <w:rtl w:val="0"/>
        </w:rPr>
        <w:t xml:space="preserve"> under the Department of Health.</w:t>
      </w:r>
    </w:p>
    <w:p w:rsidR="00000000" w:rsidDel="00000000" w:rsidP="00000000" w:rsidRDefault="00000000" w:rsidRPr="00000000" w14:paraId="00000035">
      <w:pPr>
        <w:numPr>
          <w:ilvl w:val="0"/>
          <w:numId w:val="2"/>
        </w:numPr>
        <w:spacing w:after="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Appropriate funding sufficient to equip EMS agencies across the state with blood products in every county.</w:t>
      </w:r>
    </w:p>
    <w:p w:rsidR="00000000" w:rsidDel="00000000" w:rsidP="00000000" w:rsidRDefault="00000000" w:rsidRPr="00000000" w14:paraId="00000036">
      <w:pPr>
        <w:numPr>
          <w:ilvl w:val="0"/>
          <w:numId w:val="2"/>
        </w:numPr>
        <w:spacing w:after="280" w:before="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Require structured reporting to ensure accountability, cost-effectiveness, and outcome measurement.</w:t>
      </w:r>
    </w:p>
    <w:p w:rsidR="00000000" w:rsidDel="00000000" w:rsidP="00000000" w:rsidRDefault="00000000" w:rsidRPr="00000000" w14:paraId="00000037">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By enacting such a program, Georgia can lead the nation in ensuring that geography, rurality, or EMS agency funding do not determine whether a patient bleeding to death receives lifesaving treatment.</w:t>
      </w:r>
    </w:p>
    <w:p w:rsidR="00000000" w:rsidDel="00000000" w:rsidP="00000000" w:rsidRDefault="00000000" w:rsidRPr="00000000" w14:paraId="00000038">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Thank you for your leadership and your commitment to improving emergency medical care for all residents of Georgia. We would be honored to provide testimony, clinical data, or program design details to support this initiative.</w:t>
      </w:r>
    </w:p>
    <w:p w:rsidR="00000000" w:rsidDel="00000000" w:rsidP="00000000" w:rsidRDefault="00000000" w:rsidRPr="00000000" w14:paraId="00000039">
      <w:pPr>
        <w:spacing w:after="280" w:before="280" w:lineRule="auto"/>
        <w:rPr>
          <w:rFonts w:ascii="Aptos" w:cs="Aptos" w:eastAsia="Aptos" w:hAnsi="Aptos"/>
          <w:sz w:val="22"/>
          <w:szCs w:val="22"/>
        </w:rPr>
      </w:pPr>
      <w:r w:rsidDel="00000000" w:rsidR="00000000" w:rsidRPr="00000000">
        <w:rPr>
          <w:rFonts w:ascii="Aptos" w:cs="Aptos" w:eastAsia="Aptos" w:hAnsi="Aptos"/>
          <w:sz w:val="22"/>
          <w:szCs w:val="22"/>
          <w:rtl w:val="0"/>
        </w:rPr>
        <w:t xml:space="preserve">Respectfully,</w:t>
        <w:br w:type="textWrapping"/>
        <w:t xml:space="preserve">[Your Name, MD/DO/Title]</w:t>
        <w:br w:type="textWrapping"/>
        <w:t xml:space="preserve">[Your Organization/EMS/Institution]</w:t>
        <w:br w:type="textWrapping"/>
        <w:t xml:space="preserve">[Contact Information]</w:t>
      </w:r>
    </w:p>
    <w:p w:rsidR="00000000" w:rsidDel="00000000" w:rsidP="00000000" w:rsidRDefault="00000000" w:rsidRPr="00000000" w14:paraId="0000003A">
      <w:pPr>
        <w:jc w:val="center"/>
        <w:rPr>
          <w:rFonts w:ascii="Aptos" w:cs="Aptos" w:eastAsia="Aptos" w:hAnsi="Aptos"/>
          <w:b w:val="1"/>
          <w:bCs w:val="1"/>
        </w:rPr>
      </w:pPr>
      <w:r w:rsidDel="00000000" w:rsidR="00000000" w:rsidRPr="00000000">
        <w:rPr>
          <w:rFonts w:ascii="Aptos" w:cs="Aptos" w:eastAsia="Aptos" w:hAnsi="Aptos"/>
          <w:b w:val="1"/>
          <w:bCs w:val="1"/>
          <w:rtl w:val="0"/>
        </w:rPr>
        <w:t xml:space="preserve"> </w:t>
      </w:r>
    </w:p>
    <w:p w:rsidR="00000000" w:rsidDel="00000000" w:rsidP="00000000" w:rsidRDefault="00000000" w:rsidRPr="00000000" w14:paraId="0000003B">
      <w:pPr>
        <w:jc w:val="center"/>
        <w:rPr>
          <w:rFonts w:ascii="Aptos" w:cs="Aptos" w:eastAsia="Aptos" w:hAnsi="Aptos"/>
          <w:b w:val="1"/>
          <w:bCs w:val="1"/>
        </w:rPr>
      </w:pPr>
      <w:r w:rsidDel="00000000" w:rsidR="00000000" w:rsidRPr="00000000">
        <w:rPr>
          <w:rtl w:val="0"/>
        </w:rPr>
      </w:r>
    </w:p>
    <w:p w:rsidR="00000000" w:rsidDel="00000000" w:rsidP="00000000" w:rsidRDefault="00000000" w:rsidRPr="00000000" w14:paraId="0000003C">
      <w:pPr>
        <w:rPr>
          <w:rFonts w:ascii="Aptos" w:cs="Aptos" w:eastAsia="Aptos" w:hAnsi="Aptos"/>
          <w:b w:val="1"/>
          <w:bCs w:val="1"/>
        </w:rPr>
      </w:pPr>
      <w:r w:rsidDel="00000000" w:rsidR="00000000" w:rsidRPr="00000000">
        <w:rPr>
          <w:rtl w:val="0"/>
        </w:rPr>
      </w:r>
    </w:p>
    <w:p w:rsidR="00000000" w:rsidDel="00000000" w:rsidP="00000000" w:rsidRDefault="00000000" w:rsidRPr="00000000" w14:paraId="0000003D">
      <w:pPr>
        <w:spacing w:after="160" w:line="278.00000000000006" w:lineRule="auto"/>
        <w:rPr>
          <w:rFonts w:ascii="Aptos" w:cs="Aptos" w:eastAsia="Aptos" w:hAnsi="Aptos"/>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3E">
      <w:pPr>
        <w:spacing w:after="160" w:line="278.00000000000006" w:lineRule="auto"/>
        <w:rPr>
          <w:rFonts w:ascii="Aptos" w:cs="Aptos" w:eastAsia="Aptos" w:hAnsi="Aptos"/>
          <w:b w:val="1"/>
          <w:bCs w:val="1"/>
        </w:rPr>
      </w:pPr>
      <w:r w:rsidDel="00000000" w:rsidR="00000000" w:rsidRPr="00000000">
        <w:rPr>
          <w:rtl w:val="0"/>
        </w:rPr>
      </w:r>
    </w:p>
    <w:p w:rsidR="00000000" w:rsidDel="00000000" w:rsidP="00000000" w:rsidRDefault="00000000" w:rsidRPr="00000000" w14:paraId="0000003F">
      <w:pPr>
        <w:jc w:val="center"/>
        <w:rPr>
          <w:rFonts w:ascii="Aptos" w:cs="Aptos" w:eastAsia="Aptos" w:hAnsi="Aptos"/>
          <w:b w:val="1"/>
          <w:bCs w:val="1"/>
        </w:rPr>
      </w:pPr>
      <w:r w:rsidDel="00000000" w:rsidR="00000000" w:rsidRPr="00000000">
        <w:rPr>
          <w:rFonts w:ascii="Aptos" w:cs="Aptos" w:eastAsia="Aptos" w:hAnsi="Aptos"/>
          <w:b w:val="1"/>
          <w:bCs w:val="1"/>
          <w:rtl w:val="0"/>
        </w:rPr>
        <w:t xml:space="preserve">TALKING POINTS</w:t>
      </w:r>
    </w:p>
    <w:p w:rsidR="00000000" w:rsidDel="00000000" w:rsidP="00000000" w:rsidRDefault="00000000" w:rsidRPr="00000000" w14:paraId="00000040">
      <w:pPr>
        <w:rPr>
          <w:rFonts w:ascii="Aptos" w:cs="Aptos" w:eastAsia="Aptos" w:hAnsi="Aptos"/>
          <w:b w:val="1"/>
          <w:bCs w:val="1"/>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These principles are designed to be as broad as possible – regardless of the blood product, cause of hemorrhagic shock or age of patient.</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Tens of thousands of people die from bleeding every year. Prehospital blood will save their lives.</w:t>
      </w:r>
    </w:p>
    <w:p w:rsidR="00000000" w:rsidDel="00000000" w:rsidP="00000000" w:rsidRDefault="00000000" w:rsidRPr="00000000" w14:paraId="0000004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Patients bleed to death within minutes (not hours or days)</w:t>
      </w:r>
    </w:p>
    <w:p w:rsidR="00000000" w:rsidDel="00000000" w:rsidP="00000000" w:rsidRDefault="00000000" w:rsidRPr="00000000" w14:paraId="0000004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Battlefield experience shows that early prehospital blood transfusion saves lives.</w:t>
      </w:r>
    </w:p>
    <w:p w:rsidR="00000000" w:rsidDel="00000000" w:rsidP="00000000" w:rsidRDefault="00000000" w:rsidRPr="00000000" w14:paraId="0000004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Civilian experience shows that early prehospital blood transfusion saves lives.</w:t>
      </w:r>
    </w:p>
    <w:p w:rsidR="00000000" w:rsidDel="00000000" w:rsidP="00000000" w:rsidRDefault="00000000" w:rsidRPr="00000000" w14:paraId="0000004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Every one-minute delay to transfusion increases mortality by 2%</w:t>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Blood products are currently being transfused safely and effectively by EMS in many states across the nation</w:t>
      </w:r>
    </w:p>
    <w:p w:rsidR="00000000" w:rsidDel="00000000" w:rsidP="00000000" w:rsidRDefault="00000000" w:rsidRPr="00000000" w14:paraId="0000004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Sustainable access to blood products requires a collaboration of the EMS, hospitals and blood collectors</w:t>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Currently, 97% of EMS agencies DO NOT carry blood products.</w:t>
      </w:r>
    </w:p>
    <w:p w:rsidR="00000000" w:rsidDel="00000000" w:rsidP="00000000" w:rsidRDefault="00000000" w:rsidRPr="00000000" w14:paraId="0000004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As of November 2025, approximately 325/11,000 EMS ground transporting agencies are carrying blood products.</w:t>
      </w:r>
    </w:p>
    <w:p w:rsidR="00000000" w:rsidDel="00000000" w:rsidP="00000000" w:rsidRDefault="00000000" w:rsidRPr="00000000" w14:paraId="0000004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Rural America lags in this proven lifesaving capability.</w:t>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current EMS reimbursement structure does not cover the cost of program startup, ongoing operations, blood products and transfusion supplies.</w:t>
      </w:r>
    </w:p>
    <w:p w:rsidR="00000000" w:rsidDel="00000000" w:rsidP="00000000" w:rsidRDefault="00000000" w:rsidRPr="00000000" w14:paraId="0000004D">
      <w:pPr>
        <w:spacing w:after="160" w:line="278.00000000000006" w:lineRule="auto"/>
        <w:rPr>
          <w:rFonts w:ascii="Aptos" w:cs="Aptos" w:eastAsia="Aptos" w:hAnsi="Aptos"/>
        </w:rPr>
      </w:pPr>
      <w:r w:rsidDel="00000000" w:rsidR="00000000" w:rsidRPr="00000000">
        <w:br w:type="page"/>
      </w:r>
      <w:r w:rsidDel="00000000" w:rsidR="00000000" w:rsidRPr="00000000">
        <w:rPr>
          <w:rtl w:val="0"/>
        </w:rPr>
      </w:r>
    </w:p>
    <w:p w:rsidR="00000000" w:rsidDel="00000000" w:rsidP="00000000" w:rsidRDefault="00000000" w:rsidRPr="00000000" w14:paraId="0000004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center"/>
        <w:rPr>
          <w:rFonts w:ascii="Aptos" w:cs="Aptos" w:eastAsia="Aptos" w:hAnsi="Aptos"/>
          <w:b w:val="1"/>
          <w:bCs w:val="1"/>
        </w:rPr>
      </w:pPr>
      <w:r w:rsidDel="00000000" w:rsidR="00000000" w:rsidRPr="00000000">
        <w:rPr>
          <w:rFonts w:ascii="Aptos" w:cs="Aptos" w:eastAsia="Aptos" w:hAnsi="Aptos"/>
          <w:b w:val="1"/>
          <w:bCs w:val="1"/>
          <w:rtl w:val="0"/>
        </w:rPr>
        <w:t xml:space="preserve">ADDENDUM FOR GEORGIA DOH LEGISLATIVE BUDGET</w:t>
      </w:r>
    </w:p>
    <w:p w:rsidR="00000000" w:rsidDel="00000000" w:rsidP="00000000" w:rsidRDefault="00000000" w:rsidRPr="00000000" w14:paraId="0000004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tl w:val="0"/>
        </w:rPr>
      </w:r>
    </w:p>
    <w:p w:rsidR="00000000" w:rsidDel="00000000" w:rsidP="00000000" w:rsidRDefault="00000000" w:rsidRPr="00000000" w14:paraId="0000005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tl w:val="0"/>
        </w:rPr>
      </w:r>
    </w:p>
    <w:p w:rsidR="00000000" w:rsidDel="00000000" w:rsidP="00000000" w:rsidRDefault="00000000" w:rsidRPr="00000000" w14:paraId="0000005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Fonts w:ascii="Aptos" w:cs="Aptos" w:eastAsia="Aptos" w:hAnsi="Aptos"/>
          <w:b w:val="1"/>
          <w:bCs w:val="1"/>
          <w:rtl w:val="0"/>
        </w:rPr>
        <w:t xml:space="preserve">PREHOSPITAL BLOOD PRODUCT TRANSFUSION PROGRAM:</w:t>
      </w:r>
    </w:p>
    <w:p w:rsidR="00000000" w:rsidDel="00000000" w:rsidP="00000000" w:rsidRDefault="00000000" w:rsidRPr="00000000" w14:paraId="0000005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b w:val="1"/>
          <w:bCs w:val="1"/>
        </w:rPr>
      </w:pPr>
      <w:r w:rsidDel="00000000" w:rsidR="00000000" w:rsidRPr="00000000">
        <w:rPr>
          <w:rtl w:val="0"/>
        </w:rPr>
      </w:r>
    </w:p>
    <w:p w:rsidR="00000000" w:rsidDel="00000000" w:rsidP="00000000" w:rsidRDefault="00000000" w:rsidRPr="00000000" w14:paraId="0000005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Fonts w:ascii="Aptos" w:cs="Aptos" w:eastAsia="Aptos" w:hAnsi="Aptos"/>
          <w:rtl w:val="0"/>
        </w:rPr>
        <w:t xml:space="preserve">Included in the amounts appropriated above to the Georgia Department of Health (DOH) in EMS and Trauma Care Systems, is $XX,000,000 from the General Revenue Fund in fiscal year 2026 to establish a program to support Emergency Medical Services (EMS) agencies administering blood products to patients in the field suffering from extreme blood loss due to trauma, maternal hemorrhage, or other significant medical conditions, in order to stabilize them for transport to the appropriate acute care hospital.</w:t>
      </w:r>
      <w:r w:rsidDel="00000000" w:rsidR="00000000" w:rsidRPr="00000000">
        <w:rPr>
          <w:rFonts w:ascii="MS Gothic" w:cs="MS Gothic" w:eastAsia="MS Gothic" w:hAnsi="MS Gothic"/>
          <w:rtl w:val="0"/>
        </w:rPr>
        <w:t xml:space="preserve"> </w:t>
      </w:r>
      <w:r w:rsidDel="00000000" w:rsidR="00000000" w:rsidRPr="00000000">
        <w:rPr>
          <w:rFonts w:ascii="Aptos" w:cs="Aptos" w:eastAsia="Aptos" w:hAnsi="Aptos"/>
          <w:rtl w:val="0"/>
        </w:rPr>
        <w:t xml:space="preserve">DOH, in consultation with local EMS leadership, shall determine the most cost-effective method to secure the required resources for EMS agencies to operate prehospital blood product transfusion programs.</w:t>
      </w:r>
      <w:r w:rsidDel="00000000" w:rsidR="00000000" w:rsidRPr="00000000">
        <w:rPr>
          <w:rFonts w:ascii="MS Gothic" w:cs="MS Gothic" w:eastAsia="MS Gothic" w:hAnsi="MS Gothic"/>
          <w:rtl w:val="0"/>
        </w:rPr>
        <w:t xml:space="preserve"> </w:t>
      </w:r>
      <w:r w:rsidDel="00000000" w:rsidR="00000000" w:rsidRPr="00000000">
        <w:rPr>
          <w:rFonts w:ascii="Aptos" w:cs="Aptos" w:eastAsia="Aptos" w:hAnsi="Aptos"/>
          <w:rtl w:val="0"/>
        </w:rPr>
        <w:t xml:space="preserve">DOH shall define the structure, process, and funding distribution for the state-wide</w:t>
      </w:r>
      <w:r w:rsidDel="00000000" w:rsidR="00000000" w:rsidRPr="00000000">
        <w:rPr>
          <w:rtl w:val="0"/>
        </w:rPr>
        <w:t xml:space="preserve"> </w:t>
      </w:r>
      <w:r w:rsidDel="00000000" w:rsidR="00000000" w:rsidRPr="00000000">
        <w:rPr>
          <w:rFonts w:ascii="Aptos" w:cs="Aptos" w:eastAsia="Aptos" w:hAnsi="Aptos"/>
          <w:rtl w:val="0"/>
        </w:rPr>
        <w:t xml:space="preserve">prehospital blood product transfusion program.</w:t>
      </w:r>
    </w:p>
    <w:p w:rsidR="00000000" w:rsidDel="00000000" w:rsidP="00000000" w:rsidRDefault="00000000" w:rsidRPr="00000000" w14:paraId="0000005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tl w:val="0"/>
        </w:rPr>
      </w:r>
    </w:p>
    <w:p w:rsidR="00000000" w:rsidDel="00000000" w:rsidP="00000000" w:rsidRDefault="00000000" w:rsidRPr="00000000" w14:paraId="0000005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Fonts w:ascii="Aptos" w:cs="Aptos" w:eastAsia="Aptos" w:hAnsi="Aptos"/>
          <w:rtl w:val="0"/>
        </w:rPr>
        <w:t xml:space="preserve">No later than November 1, 2026, DOH shall submit to the Legislative Budget Board and make publicly available a report with the status of the prehospital blood product transfusion program, including:</w:t>
      </w:r>
    </w:p>
    <w:p w:rsidR="00000000" w:rsidDel="00000000" w:rsidP="00000000" w:rsidRDefault="00000000" w:rsidRPr="00000000" w14:paraId="0000005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ptos" w:cs="Aptos" w:eastAsia="Aptos" w:hAnsi="Aptos"/>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 listing of the entities that were awarded funding</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amount awarded to each recipient</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areas served grant funds</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Any challenges identified with implementing the program</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Reported outcomes of grant-funded activities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rPr>
          <w:rFonts w:ascii="Aptos" w:cs="Aptos" w:eastAsia="Aptos" w:hAnsi="Aptos"/>
        </w:rPr>
      </w:pPr>
      <w:r w:rsidDel="00000000" w:rsidR="00000000" w:rsidRPr="00000000">
        <w:rPr>
          <w:rFonts w:ascii="Aptos" w:cs="Aptos" w:eastAsia="Aptos" w:hAnsi="Aptos"/>
          <w:rtl w:val="0"/>
        </w:rPr>
        <w:t xml:space="preserve">Any unexpended and unobligated balances of these funds remaining at the end of the fiscal year are appropriated for the same purposes in the next fiscal year.</w:t>
      </w:r>
    </w:p>
    <w:p w:rsidR="00000000" w:rsidDel="00000000" w:rsidP="00000000" w:rsidRDefault="00000000" w:rsidRPr="00000000" w14:paraId="0000005E">
      <w:pPr>
        <w:spacing w:after="160" w:line="278.00000000000006" w:lineRule="auto"/>
        <w:rPr>
          <w:rFonts w:ascii="Aptos" w:cs="Aptos" w:eastAsia="Aptos" w:hAnsi="Aptos"/>
        </w:rPr>
      </w:pPr>
      <w:r w:rsidDel="00000000" w:rsidR="00000000" w:rsidRPr="00000000">
        <w:br w:type="page"/>
      </w:r>
      <w:r w:rsidDel="00000000" w:rsidR="00000000" w:rsidRPr="00000000">
        <w:rPr>
          <w:rtl w:val="0"/>
        </w:rPr>
      </w:r>
    </w:p>
    <w:p w:rsidR="00000000" w:rsidDel="00000000" w:rsidP="00000000" w:rsidRDefault="00000000" w:rsidRPr="00000000" w14:paraId="0000005F">
      <w:pPr>
        <w:spacing w:after="240" w:lineRule="auto"/>
        <w:jc w:val="center"/>
        <w:rPr>
          <w:rFonts w:ascii="Aptos" w:cs="Aptos" w:eastAsia="Aptos" w:hAnsi="Aptos"/>
          <w:b w:val="1"/>
          <w:bCs w:val="1"/>
        </w:rPr>
      </w:pPr>
      <w:r w:rsidDel="00000000" w:rsidR="00000000" w:rsidRPr="00000000">
        <w:rPr>
          <w:rFonts w:ascii="Aptos" w:cs="Aptos" w:eastAsia="Aptos" w:hAnsi="Aptos"/>
          <w:b w:val="1"/>
          <w:bCs w:val="1"/>
          <w:rtl w:val="0"/>
        </w:rPr>
        <w:t xml:space="preserve">REFERENCES</w:t>
      </w:r>
    </w:p>
    <w:p w:rsidR="00000000" w:rsidDel="00000000" w:rsidP="00000000" w:rsidRDefault="00000000" w:rsidRPr="00000000" w14:paraId="00000060">
      <w:pPr>
        <w:numPr>
          <w:ilvl w:val="0"/>
          <w:numId w:val="4"/>
        </w:numPr>
        <w:ind w:left="360" w:hanging="360"/>
        <w:rPr>
          <w:rFonts w:ascii="Aptos" w:cs="Aptos" w:eastAsia="Aptos" w:hAnsi="Aptos"/>
        </w:rPr>
      </w:pPr>
      <w:r w:rsidDel="00000000" w:rsidR="00000000" w:rsidRPr="00000000">
        <w:rPr>
          <w:rFonts w:ascii="Aptos" w:cs="Aptos" w:eastAsia="Aptos" w:hAnsi="Aptos"/>
          <w:rtl w:val="0"/>
        </w:rPr>
        <w:t xml:space="preserve">Rajesh A, Barry L, Giersch C, Danko KL, Bowers A, Braverman M, Epley E, Rose T, San Antonio Whole Blood Consortium, Cotton B, Eastridge B, Jenkins D. Prehospital whole blood transfusion improves probability of survival over transfusion within one hour of arrival to a trauma center. </w:t>
      </w:r>
      <w:r w:rsidDel="00000000" w:rsidR="00000000" w:rsidRPr="00000000">
        <w:rPr>
          <w:rFonts w:ascii="Aptos" w:cs="Aptos" w:eastAsia="Aptos" w:hAnsi="Aptos"/>
          <w:i w:val="1"/>
          <w:iCs w:val="1"/>
          <w:rtl w:val="0"/>
        </w:rPr>
        <w:t xml:space="preserve">American Journal of Surgery</w:t>
      </w:r>
      <w:r w:rsidDel="00000000" w:rsidR="00000000" w:rsidRPr="00000000">
        <w:rPr>
          <w:rFonts w:ascii="Aptos" w:cs="Aptos" w:eastAsia="Aptos" w:hAnsi="Aptos"/>
          <w:rtl w:val="0"/>
        </w:rPr>
        <w:t xml:space="preserve">. 2025;250:116530. doi:10.1016/j.amjsurg.2025.116530</w:t>
      </w:r>
    </w:p>
    <w:p w:rsidR="00000000" w:rsidDel="00000000" w:rsidP="00000000" w:rsidRDefault="00000000" w:rsidRPr="00000000" w14:paraId="00000061">
      <w:pPr>
        <w:numPr>
          <w:ilvl w:val="0"/>
          <w:numId w:val="4"/>
        </w:numPr>
        <w:ind w:left="360" w:hanging="360"/>
        <w:rPr>
          <w:rFonts w:ascii="Aptos" w:cs="Aptos" w:eastAsia="Aptos" w:hAnsi="Aptos"/>
        </w:rPr>
      </w:pPr>
      <w:r w:rsidDel="00000000" w:rsidR="00000000" w:rsidRPr="00000000">
        <w:rPr>
          <w:rFonts w:ascii="Aptos" w:cs="Aptos" w:eastAsia="Aptos" w:hAnsi="Aptos"/>
          <w:rtl w:val="0"/>
        </w:rPr>
        <w:t xml:space="preserve">Abou Khalil E, Morgan KM, Gaines BA, Spinella PC, Leeper CM. Use of whole blood in pediatric trauma: a narrative review. Trauma Surg Acute Care Open. 2024;9(Suppl 1):e001127. Published 2024 Jan 5. doi:10.1136/tsaco-2023-001127</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Holcomb JB, Donathan DP, Cotton BA, et al. Prehospital whole blood reduces early mortality in patients with hemorrhagic shock. Transfusion. 2021;61(8):2525-2533. doi:10.1111/trf.16560</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Cotton BA, Holcomb JB, Gumbert SD. Removing the barriers to prehospital blood: A call to action. J Trauma Acute Care Surg. 2024;97(2S Suppl 1):S38-S44. doi:10.1097/TA.0000000000004136</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American College of Surgeons. Improving access to prehospital blood may save 10,000 lives a year. Bull Am Coll Surg. March 2025;110(3). Accessed August 29, 2025. https://www.facs.org/for-medical-professionals/news-publications/news-and-articles/bulletin/2025/march-2025-volume-110-issue-3/improving-access-to-prehospital-blood-may-save-10-000-lives-a-year/</w:t>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Texas Medical Association. Legislature dedicates $10 million to whole blood pilot program. Texas Medicine. June 2025. Accessed August 29, 2025. https://www.texmed.org/TexasMedicineDetail.aspx?Pageid=46106&amp;id=66439</w:t>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Texas Department of State Health Services. Legislative update: 89th Texas Legislature. August 13, 2025. Accessed August 29, 2025. https://www.dshs.texas.gov/sites/default/files/borderhealth/TFBHO-Docs/handouts/TFBHO-Legislative-Update-08.13.2025.pdf</w:t>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Norton Rose Fulbright. The 89th Texas Legislature: 2025 healthcare legislative update. 2025. Accessed August 29, 2025. https://www.nortonrosefulbright.com/-/media/files/nrf/nrfweb/knowledge-pdfs/the-89th-texas-legislature—2025-healthcare-legislative-update.pdf</w:t>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South Texas Regional Advisory Council. Prehospital whole blood reduces early mortality in patients with hemorrhagic shock. San Antonio: STRAC; 2024. Accessed August 29, 2025. https://www.strac.org/wp-content/uploads/2024/02/Prehospital_whole_blood_reduces_early_mortality_in_patients_with_hemorrhagic_shock.pdf</w:t>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Braverman MA, Smith A, Pokorny D, et al. Prehospital whole blood reduces early mortality in patients with hemorrhagic shock.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Transfusion (Paris)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2021;61(S1):S15-S21. doi:10.1111/trf.16528</w:t>
      </w:r>
    </w:p>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Braverman MA, Schauer SG, Ciaraglia A, et al. The impact of prehospital whole blood on hemorrhaging trauma patients: A multi-center retrospective study.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J Trauma Acute Care Surg</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2023;95(2):191-196. doi:10.1097/TA.0000000000003908</w:t>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Sobrino J, Shafi S. Timing and Causes of Death After Injuries.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Bayl Univ Med Cent Proc</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2013;26(2):120-123. doi:10.1080/08998280.2013.11928934</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MS Gothic"/>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5">
    <w:lvl w:ilvl="0">
      <w:start w:val="1"/>
      <w:numFmt w:val="decimal"/>
      <w:lvlText w:val="%1."/>
      <w:lvlJc w:val="left"/>
      <w:pPr>
        <w:ind w:left="0" w:firstLine="0"/>
      </w:pPr>
      <w:rPr/>
    </w:lvl>
    <w:lvl w:ilvl="1">
      <w:start w:val="1"/>
      <w:numFmt w:val="lowerLetter"/>
      <w:lvlText w:val="%2."/>
      <w:lvlJc w:val="left"/>
      <w:pPr>
        <w:ind w:left="81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973895"/>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73895"/>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73895"/>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7389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97389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97389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97389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97389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97389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7389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7389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73895"/>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7389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7389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7389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73895"/>
    <w:rPr>
      <w:i w:val="1"/>
      <w:iCs w:val="1"/>
      <w:color w:val="404040" w:themeColor="text1" w:themeTint="0000BF"/>
    </w:rPr>
  </w:style>
  <w:style w:type="paragraph" w:styleId="ListParagraph">
    <w:name w:val="List Paragraph"/>
    <w:basedOn w:val="Normal"/>
    <w:uiPriority w:val="34"/>
    <w:qFormat w:val="1"/>
    <w:rsid w:val="00973895"/>
    <w:pPr>
      <w:ind w:left="720"/>
      <w:contextualSpacing w:val="1"/>
    </w:pPr>
  </w:style>
  <w:style w:type="character" w:styleId="IntenseEmphasis">
    <w:name w:val="Intense Emphasis"/>
    <w:basedOn w:val="DefaultParagraphFont"/>
    <w:uiPriority w:val="21"/>
    <w:qFormat w:val="1"/>
    <w:rsid w:val="00973895"/>
    <w:rPr>
      <w:i w:val="1"/>
      <w:iCs w:val="1"/>
      <w:color w:val="0f4761" w:themeColor="accent1" w:themeShade="0000BF"/>
    </w:rPr>
  </w:style>
  <w:style w:type="paragraph" w:styleId="IntenseQuote">
    <w:name w:val="Intense Quote"/>
    <w:basedOn w:val="Normal"/>
    <w:next w:val="Normal"/>
    <w:link w:val="IntenseQuoteChar"/>
    <w:uiPriority w:val="30"/>
    <w:qFormat w:val="1"/>
    <w:rsid w:val="0097389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973895"/>
    <w:rPr>
      <w:i w:val="1"/>
      <w:iCs w:val="1"/>
      <w:color w:val="0f4761" w:themeColor="accent1" w:themeShade="0000BF"/>
    </w:rPr>
  </w:style>
  <w:style w:type="character" w:styleId="IntenseReference">
    <w:name w:val="Intense Reference"/>
    <w:basedOn w:val="DefaultParagraphFont"/>
    <w:uiPriority w:val="32"/>
    <w:qFormat w:val="1"/>
    <w:rsid w:val="00973895"/>
    <w:rPr>
      <w:b w:val="1"/>
      <w:bCs w:val="1"/>
      <w:smallCaps w:val="1"/>
      <w:color w:val="0f4761" w:themeColor="accent1" w:themeShade="0000BF"/>
      <w:spacing w:val="5"/>
    </w:rPr>
  </w:style>
  <w:style w:type="paragraph" w:styleId="Header">
    <w:name w:val="header"/>
    <w:basedOn w:val="Normal"/>
    <w:link w:val="HeaderChar"/>
    <w:uiPriority w:val="99"/>
    <w:unhideWhenUsed w:val="1"/>
    <w:rsid w:val="00973895"/>
    <w:pPr>
      <w:tabs>
        <w:tab w:val="center" w:pos="4680"/>
        <w:tab w:val="right" w:pos="9360"/>
      </w:tabs>
    </w:pPr>
  </w:style>
  <w:style w:type="character" w:styleId="HeaderChar" w:customStyle="1">
    <w:name w:val="Header Char"/>
    <w:basedOn w:val="DefaultParagraphFont"/>
    <w:link w:val="Header"/>
    <w:uiPriority w:val="99"/>
    <w:rsid w:val="00973895"/>
  </w:style>
  <w:style w:type="paragraph" w:styleId="Footer">
    <w:name w:val="footer"/>
    <w:basedOn w:val="Normal"/>
    <w:link w:val="FooterChar"/>
    <w:uiPriority w:val="99"/>
    <w:unhideWhenUsed w:val="1"/>
    <w:rsid w:val="00973895"/>
    <w:pPr>
      <w:tabs>
        <w:tab w:val="center" w:pos="4680"/>
        <w:tab w:val="right" w:pos="9360"/>
      </w:tabs>
    </w:pPr>
  </w:style>
  <w:style w:type="character" w:styleId="FooterChar" w:customStyle="1">
    <w:name w:val="Footer Char"/>
    <w:basedOn w:val="DefaultParagraphFont"/>
    <w:link w:val="Footer"/>
    <w:uiPriority w:val="99"/>
    <w:rsid w:val="00973895"/>
  </w:style>
  <w:style w:type="paragraph" w:styleId="NormalWeb">
    <w:name w:val="Normal (Web)"/>
    <w:basedOn w:val="Normal"/>
    <w:uiPriority w:val="99"/>
    <w:unhideWhenUsed w:val="1"/>
    <w:rsid w:val="00973895"/>
    <w:pPr>
      <w:spacing w:after="100" w:afterAutospacing="1" w:before="100" w:beforeAutospacing="1"/>
    </w:pPr>
  </w:style>
  <w:style w:type="character" w:styleId="Strong">
    <w:name w:val="Strong"/>
    <w:basedOn w:val="DefaultParagraphFont"/>
    <w:uiPriority w:val="22"/>
    <w:qFormat w:val="1"/>
    <w:rsid w:val="00973895"/>
    <w:rPr>
      <w:b w:val="1"/>
      <w:bCs w:val="1"/>
    </w:rPr>
  </w:style>
  <w:style w:type="paragraph" w:styleId="Default" w:customStyle="1">
    <w:name w:val="Default"/>
    <w:rsid w:val="00001700"/>
    <w:pPr>
      <w:autoSpaceDE w:val="0"/>
      <w:autoSpaceDN w:val="0"/>
      <w:adjustRightInd w:val="0"/>
      <w:spacing w:after="0" w:line="240" w:lineRule="auto"/>
    </w:pPr>
    <w:rPr>
      <w:rFonts w:ascii="Aptos" w:cs="Aptos" w:hAnsi="Aptos"/>
      <w:color w:val="000000"/>
      <w:kern w:val="0"/>
    </w:rPr>
  </w:style>
  <w:style w:type="paragraph" w:styleId="p1" w:customStyle="1">
    <w:name w:val="p1"/>
    <w:basedOn w:val="Normal"/>
    <w:rsid w:val="00281934"/>
    <w:pPr>
      <w:spacing w:after="100" w:afterAutospacing="1" w:before="100" w:beforeAutospacing="1"/>
    </w:pPr>
  </w:style>
  <w:style w:type="character" w:styleId="s1" w:customStyle="1">
    <w:name w:val="s1"/>
    <w:basedOn w:val="DefaultParagraphFont"/>
    <w:rsid w:val="00281934"/>
  </w:style>
  <w:style w:type="character" w:styleId="s2" w:customStyle="1">
    <w:name w:val="s2"/>
    <w:basedOn w:val="DefaultParagraphFont"/>
    <w:rsid w:val="00281934"/>
  </w:style>
  <w:style w:type="paragraph" w:styleId="Bibliography">
    <w:name w:val="Bibliography"/>
    <w:basedOn w:val="Normal"/>
    <w:next w:val="Normal"/>
    <w:uiPriority w:val="37"/>
    <w:semiHidden w:val="1"/>
    <w:unhideWhenUsed w:val="1"/>
    <w:rsid w:val="00B93DEA"/>
  </w:style>
  <w:style w:type="paragraph" w:styleId="Revision">
    <w:name w:val="Revision"/>
    <w:hidden w:val="1"/>
    <w:uiPriority w:val="99"/>
    <w:semiHidden w:val="1"/>
    <w:rsid w:val="009367CE"/>
    <w:pPr>
      <w:spacing w:after="0" w:line="240" w:lineRule="auto"/>
    </w:pPr>
    <w:rPr>
      <w:rFonts w:ascii="Times New Roman" w:cs="Times New Roman" w:eastAsia="Times New Roman" w:hAnsi="Times New Roman"/>
      <w:kern w:val="0"/>
    </w:rPr>
  </w:style>
  <w:style w:type="character" w:styleId="CommentReference">
    <w:name w:val="annotation reference"/>
    <w:basedOn w:val="DefaultParagraphFont"/>
    <w:uiPriority w:val="99"/>
    <w:semiHidden w:val="1"/>
    <w:unhideWhenUsed w:val="1"/>
    <w:rsid w:val="009367CE"/>
    <w:rPr>
      <w:sz w:val="16"/>
      <w:szCs w:val="16"/>
    </w:rPr>
  </w:style>
  <w:style w:type="paragraph" w:styleId="CommentText">
    <w:name w:val="annotation text"/>
    <w:basedOn w:val="Normal"/>
    <w:link w:val="CommentTextChar"/>
    <w:uiPriority w:val="99"/>
    <w:semiHidden w:val="1"/>
    <w:unhideWhenUsed w:val="1"/>
    <w:rsid w:val="009367CE"/>
    <w:rPr>
      <w:sz w:val="20"/>
      <w:szCs w:val="20"/>
    </w:rPr>
  </w:style>
  <w:style w:type="character" w:styleId="CommentTextChar" w:customStyle="1">
    <w:name w:val="Comment Text Char"/>
    <w:basedOn w:val="DefaultParagraphFont"/>
    <w:link w:val="CommentText"/>
    <w:uiPriority w:val="99"/>
    <w:semiHidden w:val="1"/>
    <w:rsid w:val="009367CE"/>
    <w:rPr>
      <w:rFonts w:ascii="Times New Roman" w:cs="Times New Roman" w:eastAsia="Times New Roman" w:hAnsi="Times New Roman"/>
      <w:kern w:val="0"/>
      <w:sz w:val="20"/>
      <w:szCs w:val="20"/>
    </w:rPr>
  </w:style>
  <w:style w:type="paragraph" w:styleId="CommentSubject">
    <w:name w:val="annotation subject"/>
    <w:basedOn w:val="CommentText"/>
    <w:next w:val="CommentText"/>
    <w:link w:val="CommentSubjectChar"/>
    <w:uiPriority w:val="99"/>
    <w:semiHidden w:val="1"/>
    <w:unhideWhenUsed w:val="1"/>
    <w:rsid w:val="009367CE"/>
    <w:rPr>
      <w:b w:val="1"/>
      <w:bCs w:val="1"/>
    </w:rPr>
  </w:style>
  <w:style w:type="character" w:styleId="CommentSubjectChar" w:customStyle="1">
    <w:name w:val="Comment Subject Char"/>
    <w:basedOn w:val="CommentTextChar"/>
    <w:link w:val="CommentSubject"/>
    <w:uiPriority w:val="99"/>
    <w:semiHidden w:val="1"/>
    <w:rsid w:val="009367CE"/>
    <w:rPr>
      <w:rFonts w:ascii="Times New Roman" w:cs="Times New Roman" w:eastAsia="Times New Roman" w:hAnsi="Times New Roman"/>
      <w:b w:val="1"/>
      <w:bCs w:val="1"/>
      <w:kern w:val="0"/>
      <w:sz w:val="20"/>
      <w:szCs w:val="20"/>
    </w:rPr>
  </w:style>
  <w:style w:type="table" w:styleId="Table1">
    <w:basedOn w:val="TableNormal"/>
    <w:tblPr>
      <w:tblStyleRowBandSize w:val="1"/>
      <w:tblStyleColBandSize w:val="1"/>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NFG7euoRHTOC7oYskN2BVfEOCA==">CgMxLjA4AHIhMVJ6bmdQTExvNFlOaDJxc0o4NnQ1OHRJZXJIeVNuQ2lO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2026-01-15T03:05:00Z</dcterms:created>
  <dc:creator>Bowers, Alexander F.</dc:creator>
</cp:coreProperties>
</file>