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1.png"/>
            <a:graphic>
              <a:graphicData uri="http://schemas.openxmlformats.org/drawingml/2006/picture">
                <pic:pic>
                  <pic:nvPicPr>
                    <pic:cNvPr descr="Blue text on a black background&#10;&#10;AI-generated content may be incorrect." id="0" name="image1.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-766760</wp:posOffset>
                </wp:positionH>
                <wp:positionV relativeFrom="paragraph">
                  <wp:posOffset>59829</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FLORIDA</w:t>
                            </w:r>
                            <w:r w:rsidDel="00000000" w:rsidR="00000000" w:rsidRPr="00000000">
                              <w:rPr>
                                <w:rFonts w:ascii="Aptos" w:cs="Aptos" w:eastAsia="Aptos" w:hAnsi="Aptos"/>
                                <w:b w:val="1"/>
                                <w:i w:val="0"/>
                                <w:smallCaps w:val="0"/>
                                <w:strike w:val="0"/>
                                <w:color w:val="1b1464"/>
                                <w:sz w:val="72"/>
                                <w:vertAlign w:val="baseline"/>
                              </w:rPr>
                              <w:t xml:space="preserve">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-766760</wp:posOffset>
                </wp:positionH>
                <wp:positionV relativeFrom="paragraph">
                  <wp:posOffset>59829</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2.jpg"/>
            <a:graphic>
              <a:graphicData uri="http://schemas.openxmlformats.org/drawingml/2006/picture">
                <pic:pic>
                  <pic:nvPicPr>
                    <pic:cNvPr descr="Logo&#10;&#10;AI-generated content may be incorrect." id="0" name="image2.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Florida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Florida, between the years of 2021-2023 there were 10,685 deaths according to the Fatality Analysis Reporting System (FARS) from the National Highway Traffic Safety Administration (NHTSA). According to the FARS database 51.3% or 5,485, of those individuals were alive at the scene and died sometime after EMS arrived. That means 5,485 individuals could have had a 25% better chance of surviving by receiving prehospital blood products if Florida had a prehospital blood product transfusion system established. That would correlate to over 1,371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Florida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Florida.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22,904,868</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455,151.39</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5,461,816.70</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Florida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Florida.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FLORIDA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Florida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05NrxbmL28Y1iqUCZfhNZVVzg==">CgMxLjA4AHIhMWNmcTdsM1Y5bWtXcEZPN19uTG9pMGJILXlsdnRFaVVk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