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DISTRICT OF COLUMBIA </w:t>
                            </w:r>
                            <w:r w:rsidDel="00000000" w:rsidR="00000000" w:rsidRPr="00000000">
                              <w:rPr>
                                <w:rFonts w:ascii="Aptos" w:cs="Aptos" w:eastAsia="Aptos" w:hAnsi="Aptos"/>
                                <w:b w:val="1"/>
                                <w:i w:val="0"/>
                                <w:smallCaps w:val="0"/>
                                <w:strike w:val="0"/>
                                <w:color w:val="1b1464"/>
                                <w:sz w:val="72"/>
                                <w:vertAlign w:val="baseline"/>
                              </w:rPr>
                              <w:t xml:space="preserve">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3795</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D.C.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district.</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D.C., between the years of 2021-2023 there were 117 deaths according to the Fatality Analysis Reporting System (FARS) from the National Highway Traffic Safety Administration (NHTSA). According to the FARS database 57.3% or 67, of those individuals were alive at the scene and died sometime after EMS arrived. That means 67 individuals could have had a 25% better chance of surviving by receiving prehospital blood products if D.C. had a prehospital blood product transfusion system established. That would correlate to over 16 lives that could be saved with prehospital blood product transfusion. This data is just from highway crashes in your district.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district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D.C.. In addition, start-up equipment costs average $12,000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4" w:val="single"/>
              <w:left w:color="000000" w:space="0" w:sz="4" w:val="single"/>
              <w:bottom w:color="000000" w:space="0" w:sz="4" w:val="single"/>
              <w:right w:color="000000" w:space="0" w:sz="4" w:val="single"/>
            </w:tcBorders>
            <w:shd w:fill="4f81bd" w:val="clear"/>
            <w:tcMar>
              <w:top w:w="20.0" w:type="dxa"/>
              <w:left w:w="20.0" w:type="dxa"/>
              <w:bottom w:w="100.0" w:type="dxa"/>
              <w:right w:w="20.0" w:type="dxa"/>
            </w:tcMar>
            <w:vAlign w:val="bottom"/>
          </w:tcPr>
          <w:p w:rsidR="00000000" w:rsidDel="00000000" w:rsidP="00000000" w:rsidRDefault="00000000" w:rsidRPr="00000000" w14:paraId="00000026">
            <w:pPr>
              <w:spacing w:after="0" w:before="0" w:lineRule="auto"/>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(2023)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4f81bd" w:val="clear"/>
            <w:tcMar>
              <w:top w:w="20.0" w:type="dxa"/>
              <w:left w:w="20.0" w:type="dxa"/>
              <w:bottom w:w="100.0" w:type="dxa"/>
              <w:right w:w="20.0" w:type="dxa"/>
            </w:tcMar>
            <w:vAlign w:val="bottom"/>
          </w:tcPr>
          <w:p w:rsidR="00000000" w:rsidDel="00000000" w:rsidP="00000000" w:rsidRDefault="00000000" w:rsidRPr="00000000" w14:paraId="00000027">
            <w:pPr>
              <w:spacing w:after="0" w:before="0" w:lineRule="auto"/>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Total WB Utilization per capita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4f81bd" w:val="clear"/>
            <w:tcMar>
              <w:top w:w="20.0" w:type="dxa"/>
              <w:left w:w="20.0" w:type="dxa"/>
              <w:bottom w:w="100.0" w:type="dxa"/>
              <w:right w:w="20.0" w:type="dxa"/>
            </w:tcMar>
            <w:vAlign w:val="bottom"/>
          </w:tcPr>
          <w:p w:rsidR="00000000" w:rsidDel="00000000" w:rsidP="00000000" w:rsidRDefault="00000000" w:rsidRPr="00000000" w14:paraId="00000028">
            <w:pPr>
              <w:spacing w:after="0" w:before="0" w:lineRule="auto"/>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595959" w:val="clear"/>
            <w:tcMar>
              <w:top w:w="20.0" w:type="dxa"/>
              <w:left w:w="20.0" w:type="dxa"/>
              <w:bottom w:w="100.0" w:type="dxa"/>
              <w:right w:w="20.0" w:type="dxa"/>
            </w:tcMar>
            <w:vAlign w:val="bottom"/>
          </w:tcPr>
          <w:p w:rsidR="00000000" w:rsidDel="00000000" w:rsidP="00000000" w:rsidRDefault="00000000" w:rsidRPr="00000000" w14:paraId="00000029">
            <w:pPr>
              <w:spacing w:after="0" w:before="0" w:lineRule="auto"/>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595959" w:val="clear"/>
            <w:tcMar>
              <w:top w:w="20.0" w:type="dxa"/>
              <w:left w:w="20.0" w:type="dxa"/>
              <w:bottom w:w="100.0" w:type="dxa"/>
              <w:right w:w="20.0" w:type="dxa"/>
            </w:tcMar>
            <w:vAlign w:val="bottom"/>
          </w:tcPr>
          <w:p w:rsidR="00000000" w:rsidDel="00000000" w:rsidP="00000000" w:rsidRDefault="00000000" w:rsidRPr="00000000" w14:paraId="0000002A">
            <w:pPr>
              <w:spacing w:after="0" w:before="0" w:lineRule="auto"/>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Annual Cost</w:t>
            </w:r>
            <w:r w:rsidDel="00000000" w:rsidR="00000000" w:rsidRPr="00000000">
              <w:rPr>
                <w:rtl w:val="0"/>
              </w:rPr>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B">
            <w:pPr>
              <w:spacing w:after="0" w:before="0" w:lineRule="auto"/>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678,972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C">
            <w:pPr>
              <w:spacing w:after="0" w:before="0" w:lineRule="auto"/>
              <w:rPr>
                <w:rFonts w:ascii="Aptos" w:cs="Aptos" w:eastAsia="Aptos" w:hAnsi="Aptos"/>
                <w:sz w:val="22"/>
                <w:szCs w:val="22"/>
              </w:rPr>
            </w:pPr>
            <w:r w:rsidDel="00000000" w:rsidR="00000000" w:rsidRPr="00000000">
              <w:rPr>
                <w:rFonts w:ascii="Calibri" w:cs="Calibri" w:eastAsia="Calibri" w:hAnsi="Calibri"/>
                <w:sz w:val="22"/>
                <w:szCs w:val="22"/>
                <w:rtl w:val="0"/>
              </w:rPr>
              <w:t xml:space="preserve">    3.97428E-05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D">
            <w:pPr>
              <w:spacing w:after="0" w:before="0" w:lineRule="auto"/>
              <w:rPr>
                <w:rFonts w:ascii="Aptos" w:cs="Aptos" w:eastAsia="Aptos" w:hAnsi="Aptos"/>
                <w:sz w:val="22"/>
                <w:szCs w:val="22"/>
              </w:rPr>
            </w:pPr>
            <w:r w:rsidDel="00000000" w:rsidR="00000000" w:rsidRPr="00000000">
              <w:rPr>
                <w:rFonts w:ascii="Calibri" w:cs="Calibri" w:eastAsia="Calibri" w:hAnsi="Calibri"/>
                <w:sz w:val="22"/>
                <w:szCs w:val="22"/>
                <w:rtl w:val="0"/>
              </w:rPr>
              <w:t xml:space="preserve">$           0.24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E">
            <w:pPr>
              <w:spacing w:after="0" w:before="0" w:lineRule="auto"/>
              <w:rPr>
                <w:rFonts w:ascii="Aptos" w:cs="Aptos" w:eastAsia="Aptos" w:hAnsi="Aptos"/>
                <w:sz w:val="22"/>
                <w:szCs w:val="22"/>
              </w:rPr>
            </w:pPr>
            <w:r w:rsidDel="00000000" w:rsidR="00000000" w:rsidRPr="00000000">
              <w:rPr>
                <w:rFonts w:ascii="Calibri" w:cs="Calibri" w:eastAsia="Calibri" w:hAnsi="Calibri"/>
                <w:sz w:val="22"/>
                <w:szCs w:val="22"/>
                <w:rtl w:val="0"/>
              </w:rPr>
              <w:t xml:space="preserve"> $         20,903.04</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rPr>
                <w:rFonts w:ascii="Aptos" w:cs="Aptos" w:eastAsia="Aptos" w:hAnsi="Aptos"/>
                <w:sz w:val="22"/>
                <w:szCs w:val="22"/>
              </w:rPr>
            </w:pPr>
            <w:r w:rsidDel="00000000" w:rsidR="00000000" w:rsidRPr="00000000">
              <w:rPr>
                <w:rFonts w:ascii="Calibri" w:cs="Calibri" w:eastAsia="Calibri" w:hAnsi="Calibri"/>
                <w:sz w:val="22"/>
                <w:szCs w:val="22"/>
                <w:rtl w:val="0"/>
              </w:rPr>
              <w:t xml:space="preserve"> $             161,905.35</w:t>
            </w:r>
            <w:r w:rsidDel="00000000" w:rsidR="00000000" w:rsidRPr="00000000">
              <w:rPr>
                <w:rtl w:val="0"/>
              </w:rPr>
            </w:r>
          </w:p>
        </w:tc>
      </w:tr>
    </w:tbl>
    <w:p w:rsidR="00000000" w:rsidDel="00000000" w:rsidP="00000000" w:rsidRDefault="00000000" w:rsidRPr="00000000" w14:paraId="0000003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2">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3">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4">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D.C. can lead the nation in ensuring that geography, rurality, or EMS agency funding do not determine whether a patient bleeding to death receives lifesaving treatment.</w:t>
      </w:r>
    </w:p>
    <w:p w:rsidR="00000000" w:rsidDel="00000000" w:rsidP="00000000" w:rsidRDefault="00000000" w:rsidRPr="00000000" w14:paraId="0000003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D.C.. We would be honored to provide testimony, clinical data, or program design details to support this initiative.</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8">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9">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A">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3E">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B">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D.C. DOH LEGISLATIVE BUDGET</w:t>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D.C.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C">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5E">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5F">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8zjYrKpG64gl96DI0kmarMYuw==">CgMxLjA4AHIhMWpKekN5bTJqVUpPcTlldmpaMnBfbWE0LTZBdm10RGl4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